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0" w:right="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التجارب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العالمية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خصخصة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الموانئ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البحرية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دروس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ومحاذير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center"/>
        <w:rPr/>
      </w:pP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للنقل</w:t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center"/>
        <w:rPr/>
      </w:pPr>
      <w:r w:rsidDel="00000000" w:rsidR="00000000" w:rsidRPr="00000000">
        <w:rPr>
          <w:rtl w:val="1"/>
        </w:rPr>
        <w:t xml:space="preserve">عضو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</w:t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1"/>
        </w:rPr>
        <w:t xml:space="preserve">العميد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لكلية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rtl w:val="1"/>
        </w:rPr>
        <w:t xml:space="preserve">دولى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واللوجستيات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الأكاديمية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والتكنولوجيا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بالقاهرة</w:t>
      </w:r>
    </w:p>
    <w:p w:rsidR="00000000" w:rsidDel="00000000" w:rsidP="00000000" w:rsidRDefault="00000000" w:rsidRPr="00000000" w14:paraId="00000009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mohamed55o@hotmail.com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Cell. Phone: (Egypt): +2-0101744788</w:t>
      </w:r>
    </w:p>
    <w:p w:rsidR="00000000" w:rsidDel="00000000" w:rsidP="00000000" w:rsidRDefault="00000000" w:rsidRPr="00000000" w14:paraId="0000000B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C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right="0" w:firstLine="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تقديم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 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أضحت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إتجاها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عالميا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الثمانينات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القرن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الماضي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كنتيجة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لإنتشار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أفكار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مدرسة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شيكاجو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تذهب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تدخل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النشاط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الإقتصادي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يجب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إستحدام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أدوات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السياسة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النقدية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تدخلا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مباشر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ضرورة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لقيام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بإنشاء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المشروعات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الإقتصادية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تتبنى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أفكار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التحرر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الإقتصادي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تحرير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وأسعار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الفائدة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والصرف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الواقع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دعوى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المدرسة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صادف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قبولا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إبان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الجمهوريين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الولايات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فترة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ولاية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ريجان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تزامنت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المحافظين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بزعامة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مارجريت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تاتشر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مقاليد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أسفر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تطبيق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سياسة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Deregulation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الولايات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وسياسة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إنجلترا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إنتشرت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الفكرة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شهدت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الفترة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تفكك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الإتحاد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السوفييتي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وانفراط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المنظومة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الإشتراكية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وتحولها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الأحذ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بنظام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السوق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وتطبيق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برامج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فضلا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ُ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تعاظم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أزمة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المديونية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النامية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الفترة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اضطرت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تنفيذ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برامج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أحد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بنود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برامجي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التثبيت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والتكيف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الهيكلي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يدعمها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صندوق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والبنك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الدوليين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وبالرغم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المتتبع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للتاريخ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الإقتصادي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يستطيع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يلمس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هناك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تأرجحا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سواء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مستوى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الفكر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الإقتصادي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مستوى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التطبيق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يأخذ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إبراهيم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   2002 –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).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َ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الشواهد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فترة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زمنية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وجيزة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ربطها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سياقها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التاريخي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أعطى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إنطباعا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إتجاها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عالميا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المناسب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للمشكلات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الإقتصادية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النامية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وأيا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فكرة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إنتشرت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وطبقت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المجالات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الإقتصادية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هبت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رياح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وإعمالا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يلعب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متزايدا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ممارسة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الرئيسية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أصبح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يحظى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بقبول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دعوى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متعددة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معظمها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تحسين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صيغت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قوالب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مختلفة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تجاوبت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مصر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التوجهات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خصوصا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مينائي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ُ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وشرق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سعيد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يلوح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ُ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بوادر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إتخاذ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إجراءات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ُ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كانت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هناك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تجارب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المجال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زاخرة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بالدروس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والعبر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يستوجب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إستقراء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لإستجلاء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مدى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إنتشار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فكرة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؟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الدوافع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لخصخصتها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المجالات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سمح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بإرتيادها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طرق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المجالات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وعيوب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ومزايا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وأخيرا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حققت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الأهداف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المرجوة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وتستهدف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الورقة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الإجابة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التساؤلات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0" w:right="0"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أولا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مدى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إنتشار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ظاهرة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خصخصة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الموانئ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البحرية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يجادل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ظاهرة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أضحت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ظاهرة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وجدت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سبيلها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للتطبيق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معظم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فرق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شماله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وجنوبه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شرقه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وغربه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المتأمل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لحقيقة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الظاهرة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محدودية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إنتشارها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ولإثبات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يتطلب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مفهوم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ومدى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إنطباقه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واقع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مدى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إنطباق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المفهوم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صدق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يقول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علماء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المنطق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نعرض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ومدى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ومصفوفة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خيارات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bidi w:val="1"/>
        <w:ind w:left="720" w:right="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مفهوم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خصخصة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الموانئ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البحرية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يذهب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تعريفها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"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الفعلي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والتطبيق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الحقيقي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لتمويل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الإستثمارات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تسهيلات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والمعدات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والنظم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برأس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"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Cass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1999).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يضيف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ضرورة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قيام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بأداء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de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Matons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1997).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كنهه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عملية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ليتولى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تمويل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الإستثمارات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وأداء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المفهوم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ثلاث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أقدمت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أصولها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كاملة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زالت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التجربة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جدل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(9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Baird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199)،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نيوزيلاندا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تبنت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نفس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السياسة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مؤخرا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قبول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ظاهرة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ظاهرة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أعتبر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اتجاه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يعدو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كونه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تخفيض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الأعباء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أدى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معينه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المشتركة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وسائل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الترخيص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عقود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إمتياز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وكنتيجة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تعتقد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الآن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مستخدمي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يجب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يمولوا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جزء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التسهيلات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المطلوبة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إحتفاظ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لتوجيه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إستخدام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التسهيلات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الصالح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ودون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للمخاطر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المالية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إطلاق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إصطلاح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يؤدي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خاطئ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الظاهرة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de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Monie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1994).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يجري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إعتباره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بالمفهوم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الإصطلاحي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الكلمة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وتجاوزا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نطلق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جزئية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جاز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التعبير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bidi w:val="1"/>
        <w:ind w:left="720" w:right="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مدى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خصخصة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وظائف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الميناء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وإذا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قبلنا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مفهوم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الجزئية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يتطلب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دراسة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مدى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مشاركة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أداء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الرئيسية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التمييز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ثلاثة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للميناء</w:t>
      </w:r>
      <w:r w:rsidDel="00000000" w:rsidR="00000000" w:rsidRPr="00000000">
        <w:rPr>
          <w:sz w:val="26"/>
          <w:szCs w:val="2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مبارك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2003):</w:t>
      </w:r>
    </w:p>
    <w:p w:rsidR="00000000" w:rsidDel="00000000" w:rsidP="00000000" w:rsidRDefault="00000000" w:rsidRPr="00000000" w14:paraId="0000001B">
      <w:pPr>
        <w:numPr>
          <w:ilvl w:val="0"/>
          <w:numId w:val="24"/>
        </w:numPr>
        <w:bidi w:val="1"/>
        <w:ind w:left="648" w:right="0" w:hanging="288"/>
        <w:jc w:val="both"/>
        <w:rPr>
          <w:b w:val="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وظيفة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الملكية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Landlord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Function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ind w:left="0" w:right="0" w:firstLine="36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وتتطلب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تأدية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المهام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الآتية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:-</w:t>
      </w:r>
    </w:p>
    <w:tbl>
      <w:tblPr>
        <w:tblStyle w:val="Table1"/>
        <w:bidiVisual w:val="1"/>
        <w:tblW w:w="8280.0" w:type="dxa"/>
        <w:jc w:val="right"/>
        <w:tblLayout w:type="fixed"/>
        <w:tblLook w:val="0000"/>
      </w:tblPr>
      <w:tblGrid>
        <w:gridCol w:w="4140"/>
        <w:gridCol w:w="4140"/>
        <w:tblGridChange w:id="0">
          <w:tblGrid>
            <w:gridCol w:w="4140"/>
            <w:gridCol w:w="4140"/>
          </w:tblGrid>
        </w:tblGridChange>
      </w:tblGrid>
      <w:tr>
        <w:trPr>
          <w:cantSplit w:val="0"/>
          <w:tblHeader w:val="0"/>
        </w:trPr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ind w:left="0" w:right="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تنسيق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أنشطة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التسويق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والترويج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للميناء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.</w:t>
            </w:r>
          </w:p>
        </w:tc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ind w:left="0" w:right="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المحافظة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وتطوير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عقارات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الميناء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ind w:left="0" w:right="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إنشاء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وصيانة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القنوات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وحواجز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الأمواج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والأحواض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.</w:t>
            </w:r>
          </w:p>
        </w:tc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ind w:left="0" w:right="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تخطيط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سياسات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الميناء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واستراتيجيات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تطويره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ind w:left="0" w:right="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توفير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الطرق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البرية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والسكك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الحديدية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الموصلة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للميناء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.</w:t>
            </w:r>
          </w:p>
        </w:tc>
        <w:tc>
          <w:tcPr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ind w:left="0" w:right="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الأعمال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الهندسية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المدنية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3">
      <w:pPr>
        <w:numPr>
          <w:ilvl w:val="0"/>
          <w:numId w:val="24"/>
        </w:numPr>
        <w:bidi w:val="1"/>
        <w:ind w:left="648" w:right="0" w:hanging="288"/>
        <w:jc w:val="both"/>
        <w:rPr>
          <w:b w:val="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وظيفة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التنظيم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The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Regulatory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Function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وتتكون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مجموعة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المسؤوليات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تفرضها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التشريعات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وأساسا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تضطلع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بأداء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تتضمن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:-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bidi w:val="1"/>
        <w:ind w:left="864" w:right="0" w:hanging="288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تأمين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المداخل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الملاحية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وتطويرها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وصيانتها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وتحصيل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الرسوم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مستخدمي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bidi w:val="1"/>
        <w:ind w:left="864" w:right="0" w:hanging="288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تقديم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الإرشاد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وإدارة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مرور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السفن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لتأمين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المرور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الآمن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للسفن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منطقة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نفوذ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bidi w:val="1"/>
        <w:ind w:left="864" w:right="0" w:hanging="288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فرض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تطبيق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القوانين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واللوائح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خصوصا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يتعلق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بالصحة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والسلامة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يكفل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التلوث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بمنطقة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وحتى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القيام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يتبعها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وكذا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إطفاء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22"/>
        </w:numPr>
        <w:bidi w:val="1"/>
        <w:ind w:left="864" w:right="0" w:hanging="288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منح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تراخيص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مزاولة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الأعمال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25"/>
        </w:numPr>
        <w:bidi w:val="1"/>
        <w:ind w:left="864" w:right="0" w:hanging="288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تأمين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مصالح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مستخدمي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مخاطر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الإحتكار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والسيطرة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الإحتكارات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الطبيعية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bidi w:val="1"/>
        <w:ind w:left="90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تتولى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سلطة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توجيه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الأداء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وتنسيق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السياسات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الجهات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المحلية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والقومية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وإعداد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الخطط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المستقبلية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وكذا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تسويق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وتسهيلاته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للمتعاملين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ويخشى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لكونها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حيوية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يؤدي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تعارض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المصالح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ستتولى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مهمة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تنظيم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المنافسة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داخل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الخبراء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يرون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ضرورة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إبقاء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نطاق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السلطة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24"/>
        </w:numPr>
        <w:bidi w:val="1"/>
        <w:ind w:left="648" w:right="0" w:hanging="288"/>
        <w:jc w:val="both"/>
        <w:rPr>
          <w:b w:val="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وظيفة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التشغيل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The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Operation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Function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تتعلق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العيني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للبضائع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إنتقال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الركاب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الأرض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العكس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وتتضمن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الشحن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والتفريغ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والتخزين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والتعبئة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والتوريدات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المناطق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تمتد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لتشمل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والإرشاد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وإصلاح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السفن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خبراء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Baird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1999).</w:t>
      </w:r>
    </w:p>
    <w:p w:rsidR="00000000" w:rsidDel="00000000" w:rsidP="00000000" w:rsidRDefault="00000000" w:rsidRPr="00000000" w14:paraId="0000002D">
      <w:pPr>
        <w:bidi w:val="1"/>
        <w:ind w:left="0" w:right="0" w:firstLine="0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وسعيا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التعرف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إعتمدنا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دراسة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أعدتها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الهيئة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IAPH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)  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International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Association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for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Ports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and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Harbors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1999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مدى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تدخل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ممارسة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الأساسية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(2000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IAPH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)،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أجرت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إستقصاءا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وزعته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جميع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الأعضاء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وتلقت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ردودا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188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80%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أعضاء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الهيئة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معظم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الهامة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وكذا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متوسطة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الحجم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أفصحت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نتيجة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الإستقصاء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النتائج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الأتية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0"/>
          <w:numId w:val="23"/>
        </w:numPr>
        <w:bidi w:val="1"/>
        <w:ind w:left="576" w:right="0" w:hanging="144"/>
        <w:jc w:val="both"/>
        <w:rPr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وظيفة</w:t>
      </w: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التنظيم</w:t>
      </w: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تبين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92%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تتولى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هيئات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التنظيم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21%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إدارات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71%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وكالات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7%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ثلثي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النسبة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مساهمات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تتراوح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60 – 100%،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تخضع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لقانون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الموضح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بالجدول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الآتي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tbl>
      <w:tblPr>
        <w:tblStyle w:val="Table2"/>
        <w:bidiVisual w:val="1"/>
        <w:tblW w:w="8208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34"/>
        <w:gridCol w:w="2034"/>
        <w:gridCol w:w="2034"/>
        <w:gridCol w:w="2106"/>
        <w:tblGridChange w:id="0">
          <w:tblGrid>
            <w:gridCol w:w="2034"/>
            <w:gridCol w:w="2034"/>
            <w:gridCol w:w="2034"/>
            <w:gridCol w:w="2106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bidi w:val="1"/>
              <w:ind w:left="0" w:right="0" w:firstLine="0"/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Heading1"/>
              <w:bidi w:val="1"/>
              <w:spacing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مدى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مساهمة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القطاعين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والخاص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إداء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التنتظيمية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بالموانئ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عام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bidi w:val="1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الجهة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القائمة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بالتنظيم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وكالة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شركة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عامة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إدارات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حكومية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bidi w:val="1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النسبة</w:t>
            </w:r>
            <w:r w:rsidDel="00000000" w:rsidR="00000000" w:rsidRPr="00000000">
              <w:rPr>
                <w:vertAlign w:val="baseline"/>
                <w:rtl w:val="1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المصدر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الباحث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إستنادا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بيانات</w:t>
            </w:r>
            <w:r w:rsidDel="00000000" w:rsidR="00000000" w:rsidRPr="00000000">
              <w:rPr>
                <w:vertAlign w:val="baseline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IAPH (2000), Task Force (1999), Institutional Reform Working Group, Final Report, </w:t>
            </w: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Proceeding of the International Association for Ports and Harbors  (IAPH) World Ports Conference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, Kuala Lumpur.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80" w:right="540" w:hanging="1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يلاحظ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إكتمال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100%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يرجع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إستكمال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الردود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الإستبيان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المتبقية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مؤثرة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48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ويتبين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سيطرة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التنظيم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الغالبية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العظمى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إنعكس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الوضع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23"/>
        </w:numPr>
        <w:bidi w:val="1"/>
        <w:ind w:left="576" w:right="0" w:hanging="144"/>
        <w:jc w:val="both"/>
        <w:rPr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وظيفة</w:t>
      </w: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الملكية</w:t>
      </w: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غالبا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-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تنظيمي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آخر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يتبع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-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المتاحة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يوضحه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الآتي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B">
      <w:pPr>
        <w:bidi w:val="1"/>
        <w:ind w:left="72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928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0"/>
        <w:gridCol w:w="846"/>
        <w:gridCol w:w="882"/>
        <w:gridCol w:w="833"/>
        <w:gridCol w:w="882"/>
        <w:gridCol w:w="833"/>
        <w:gridCol w:w="833"/>
        <w:gridCol w:w="835"/>
        <w:gridCol w:w="2114"/>
        <w:tblGridChange w:id="0">
          <w:tblGrid>
            <w:gridCol w:w="870"/>
            <w:gridCol w:w="846"/>
            <w:gridCol w:w="882"/>
            <w:gridCol w:w="833"/>
            <w:gridCol w:w="882"/>
            <w:gridCol w:w="833"/>
            <w:gridCol w:w="833"/>
            <w:gridCol w:w="835"/>
            <w:gridCol w:w="2114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bidi w:val="1"/>
              <w:ind w:left="0" w:right="0" w:firstLine="0"/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(2)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bidi w:val="1"/>
              <w:ind w:left="0" w:right="0" w:firstLine="0"/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ملكية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أصول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الموانئ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محطات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البضائع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العامة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محطات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الصب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محطات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الحاويات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حواجز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الأمواج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bidi w:val="1"/>
              <w:ind w:left="0" w:right="0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1"/>
              </w:rPr>
              <w:t xml:space="preserve">قنوات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1"/>
              </w:rPr>
              <w:t xml:space="preserve">الإتصال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4358640</wp:posOffset>
                      </wp:positionH>
                      <wp:positionV relativeFrom="paragraph">
                        <wp:posOffset>147955</wp:posOffset>
                      </wp:positionV>
                      <wp:extent cx="457200" cy="484505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84505"/>
                              </a:xfrm>
                              <a:prstGeom prst="rtTriangle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4358640</wp:posOffset>
                      </wp:positionH>
                      <wp:positionV relativeFrom="paragraph">
                        <wp:posOffset>147955</wp:posOffset>
                      </wp:positionV>
                      <wp:extent cx="457200" cy="48450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7200" cy="4845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bottom w:color="000000" w:space="0" w:sz="0" w:val="nil"/>
            </w:tcBorders>
            <w:tcMar>
              <w:left w:w="29.0" w:type="dxa"/>
              <w:right w:w="29.0" w:type="dxa"/>
            </w:tcMar>
            <w:vAlign w:val="top"/>
          </w:tcPr>
          <w:p w:rsidR="00000000" w:rsidDel="00000000" w:rsidP="00000000" w:rsidRDefault="00000000" w:rsidRPr="00000000" w14:paraId="0000005E">
            <w:pPr>
              <w:bidi w:val="1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أنواع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الأصول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9526</wp:posOffset>
                      </wp:positionH>
                      <wp:positionV relativeFrom="paragraph">
                        <wp:posOffset>10160</wp:posOffset>
                      </wp:positionV>
                      <wp:extent cx="1304925" cy="70485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704850"/>
                              </a:xfrm>
                              <a:custGeom>
                                <a:ahLst/>
                                <a:pathLst>
                                  <a:path h="1110" w="2055">
                                    <a:moveTo>
                                      <a:pt x="2055" y="0"/>
                                    </a:moveTo>
                                    <a:lnTo>
                                      <a:pt x="0" y="111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9526</wp:posOffset>
                      </wp:positionH>
                      <wp:positionV relativeFrom="paragraph">
                        <wp:posOffset>10160</wp:posOffset>
                      </wp:positionV>
                      <wp:extent cx="1304925" cy="7048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4925" cy="704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أوناش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أراضي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أوناش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أراضي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أوناش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أراضي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67">
            <w:pPr>
              <w:bidi w:val="1"/>
              <w:ind w:left="0" w:righ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الجهة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المالكة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هيئات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الموانئ</w:t>
            </w:r>
            <w:r w:rsidDel="00000000" w:rsidR="00000000" w:rsidRPr="00000000">
              <w:rPr>
                <w:vertAlign w:val="baseline"/>
                <w:rtl w:val="1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تنظيمات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عامة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vertAlign w:val="baseline"/>
                <w:rtl w:val="1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vertAlign w:val="baseline"/>
                <w:rtl w:val="1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87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الجملة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المصدر</w:t>
            </w:r>
            <w:r w:rsidDel="00000000" w:rsidR="00000000" w:rsidRPr="00000000">
              <w:rPr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الباحث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إعتمادا</w:t>
            </w:r>
            <w:r w:rsidDel="00000000" w:rsidR="00000000" w:rsidRPr="00000000">
              <w:rPr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مصدر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السابق</w:t>
            </w:r>
            <w:r w:rsidDel="00000000" w:rsidR="00000000" w:rsidRPr="00000000">
              <w:rPr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vertAlign w:val="baseline"/>
                <w:rtl w:val="1"/>
              </w:rPr>
              <w:t xml:space="preserve">ويرجع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إكتمال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النسبة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vertAlign w:val="baseline"/>
                <w:rtl w:val="1"/>
              </w:rPr>
              <w:t xml:space="preserve"> 100% </w:t>
            </w:r>
            <w:r w:rsidDel="00000000" w:rsidR="00000000" w:rsidRPr="00000000">
              <w:rPr>
                <w:vertAlign w:val="baseline"/>
                <w:rtl w:val="1"/>
              </w:rPr>
              <w:t xml:space="preserve">لعدم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ورود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الردود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كاملة</w:t>
            </w:r>
          </w:p>
        </w:tc>
      </w:tr>
    </w:tbl>
    <w:p w:rsidR="00000000" w:rsidDel="00000000" w:rsidP="00000000" w:rsidRDefault="00000000" w:rsidRPr="00000000" w14:paraId="00000095">
      <w:pPr>
        <w:bidi w:val="1"/>
        <w:ind w:left="72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ويوضح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حواجز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الأمواج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وقنوات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الإتصال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ويرجع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طبيعة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النوع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الإستثمار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يتسم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بإرتفاع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وصعوبة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إستردادها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يحجم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الإستثمار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أراضي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المحطات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بأنواعها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زالت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محدودة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4%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أراضي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محطات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والبضائع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11%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أراضي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محطات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ترتفع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النسبة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الأوناش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تبلغ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22%، 44%، 25%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محطات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والصب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والبضائع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التوالي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ويعكس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الإتجاه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إشراك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المهام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التشغيلية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زالت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غالبيتها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الهيئات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أجهزة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8">
      <w:pPr>
        <w:numPr>
          <w:ilvl w:val="0"/>
          <w:numId w:val="23"/>
        </w:numPr>
        <w:bidi w:val="1"/>
        <w:ind w:left="576" w:right="0" w:hanging="144"/>
        <w:jc w:val="both"/>
        <w:rPr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وظيفة</w:t>
      </w: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التشغيل</w:t>
      </w:r>
      <w:r w:rsidDel="00000000" w:rsidR="00000000" w:rsidRPr="00000000">
        <w:rPr>
          <w:b w:val="1"/>
          <w:sz w:val="26"/>
          <w:szCs w:val="26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تقسيم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ثلاثة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A">
      <w:pPr>
        <w:numPr>
          <w:ilvl w:val="2"/>
          <w:numId w:val="12"/>
        </w:numPr>
        <w:bidi w:val="1"/>
        <w:ind w:left="720" w:right="0" w:hanging="43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الملاحية</w:t>
      </w:r>
    </w:p>
    <w:p w:rsidR="00000000" w:rsidDel="00000000" w:rsidP="00000000" w:rsidRDefault="00000000" w:rsidRPr="00000000" w14:paraId="0000009B">
      <w:pPr>
        <w:numPr>
          <w:ilvl w:val="2"/>
          <w:numId w:val="12"/>
        </w:numPr>
        <w:bidi w:val="1"/>
        <w:ind w:left="720" w:right="0" w:hanging="43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الشحن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والتفريغ</w:t>
      </w:r>
    </w:p>
    <w:p w:rsidR="00000000" w:rsidDel="00000000" w:rsidP="00000000" w:rsidRDefault="00000000" w:rsidRPr="00000000" w14:paraId="0000009C">
      <w:pPr>
        <w:numPr>
          <w:ilvl w:val="2"/>
          <w:numId w:val="12"/>
        </w:numPr>
        <w:bidi w:val="1"/>
        <w:ind w:left="720" w:right="0" w:hanging="43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القيمة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المضافة</w:t>
      </w:r>
    </w:p>
    <w:p w:rsidR="00000000" w:rsidDel="00000000" w:rsidP="00000000" w:rsidRDefault="00000000" w:rsidRPr="00000000" w14:paraId="0000009D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ويلخص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توزيع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E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928.0" w:type="dxa"/>
        <w:jc w:val="right"/>
        <w:tblBorders>
          <w:top w:color="000000" w:space="0" w:sz="4" w:val="single"/>
          <w:left w:color="000000" w:space="0" w:sz="4" w:val="single"/>
          <w:bottom w:color="000000" w:space="0" w:sz="0" w:val="nil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7"/>
        <w:gridCol w:w="621"/>
        <w:gridCol w:w="491"/>
        <w:gridCol w:w="742"/>
        <w:gridCol w:w="628"/>
        <w:gridCol w:w="589"/>
        <w:gridCol w:w="529"/>
        <w:gridCol w:w="692"/>
        <w:gridCol w:w="503"/>
        <w:gridCol w:w="575"/>
        <w:gridCol w:w="607"/>
        <w:gridCol w:w="522"/>
        <w:gridCol w:w="804"/>
        <w:gridCol w:w="741"/>
        <w:gridCol w:w="107"/>
        <w:tblGridChange w:id="0">
          <w:tblGrid>
            <w:gridCol w:w="777"/>
            <w:gridCol w:w="621"/>
            <w:gridCol w:w="491"/>
            <w:gridCol w:w="742"/>
            <w:gridCol w:w="628"/>
            <w:gridCol w:w="589"/>
            <w:gridCol w:w="529"/>
            <w:gridCol w:w="692"/>
            <w:gridCol w:w="503"/>
            <w:gridCol w:w="575"/>
            <w:gridCol w:w="607"/>
            <w:gridCol w:w="522"/>
            <w:gridCol w:w="804"/>
            <w:gridCol w:w="741"/>
            <w:gridCol w:w="107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bidi w:val="1"/>
              <w:ind w:left="0" w:right="0" w:firstLine="0"/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(3)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bidi w:val="1"/>
              <w:ind w:left="0" w:right="0" w:firstLine="0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توزيع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خدمات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تشغيل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الموانئ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القطاعين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والخاص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خدمات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القيم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المضافة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خدمات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الشحن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B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الملاحية</w:t>
            </w:r>
          </w:p>
        </w:tc>
        <w:tc>
          <w:tcPr>
            <w:gridSpan w:val="2"/>
            <w:tcBorders>
              <w:bottom w:color="000000" w:space="0" w:sz="0" w:val="nil"/>
            </w:tcBorders>
            <w:tcMar>
              <w:left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bidi w:val="1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أنواع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-17779</wp:posOffset>
                      </wp:positionH>
                      <wp:positionV relativeFrom="paragraph">
                        <wp:posOffset>17780</wp:posOffset>
                      </wp:positionV>
                      <wp:extent cx="533400" cy="809625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809625"/>
                              </a:xfrm>
                              <a:custGeom>
                                <a:ahLst/>
                                <a:pathLst>
                                  <a:path h="1275" w="840">
                                    <a:moveTo>
                                      <a:pt x="840" y="0"/>
                                    </a:moveTo>
                                    <a:lnTo>
                                      <a:pt x="0" y="1275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-17779</wp:posOffset>
                      </wp:positionH>
                      <wp:positionV relativeFrom="paragraph">
                        <wp:posOffset>17780</wp:posOffset>
                      </wp:positionV>
                      <wp:extent cx="533400" cy="80962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3400" cy="809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معلومات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بالسفن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برى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توكيلات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تخزين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أخرى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صب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حاويات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قطر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إرشاد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تطهير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bidi w:val="1"/>
              <w:ind w:left="0" w:right="0" w:firstLine="0"/>
              <w:jc w:val="center"/>
              <w:rPr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ميناء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bidi w:val="1"/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مساعدات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ملاحية</w:t>
            </w:r>
          </w:p>
        </w:tc>
        <w:tc>
          <w:tcPr>
            <w:gridSpan w:val="2"/>
            <w:tcBorders>
              <w:top w:color="000000" w:space="0" w:sz="0" w:val="nil"/>
            </w:tcBorders>
            <w:tcMar>
              <w:left w:w="115.0" w:type="dxa"/>
              <w:right w:w="29.0" w:type="dxa"/>
            </w:tcMar>
            <w:vAlign w:val="top"/>
          </w:tcPr>
          <w:p w:rsidR="00000000" w:rsidDel="00000000" w:rsidP="00000000" w:rsidRDefault="00000000" w:rsidRPr="00000000" w14:paraId="000000CB">
            <w:pPr>
              <w:bidi w:val="1"/>
              <w:ind w:left="0" w:right="0" w:firstLine="0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الجهة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المشغلة</w:t>
            </w:r>
            <w:r w:rsidDel="00000000" w:rsidR="00000000" w:rsidRPr="00000000">
              <w:rPr>
                <w:sz w:val="20"/>
                <w:szCs w:val="20"/>
                <w:vertAlign w:val="baseline"/>
                <w:rtl w:val="1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56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A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هيئات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عامة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9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خاص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48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69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إجمالي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bidi w:val="1"/>
              <w:ind w:left="0" w:right="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المصدر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الباحث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إستنادا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بيانات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مصدر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السابق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ويرجع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إكتمال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النسبة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100%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ورود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الردود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كاملة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09">
      <w:pPr>
        <w:bidi w:val="1"/>
        <w:ind w:left="72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ويتضح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مساهمة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تقديم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الملاحية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زالت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محدودة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كانت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أفضل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قليلا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الشحن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والتفريغ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مهيمنا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هاتين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النوعيتين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دوره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محدود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القيمة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المضافة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بصفة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بإستثناء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التخزين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والمعلومات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B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الركيزة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الأساسية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بالنسبة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التنظيم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التخزين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والمعلومات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يسيطر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جزء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التوكيلات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بالسفن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وكذا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يلعب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متزايدا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الشحن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والتفريغ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C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يتضح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صحة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إتجاها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عالميا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حتى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أخذنا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بمفهوم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الجزئية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واتبعنا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تقسيم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D">
      <w:pPr>
        <w:numPr>
          <w:ilvl w:val="1"/>
          <w:numId w:val="16"/>
        </w:numPr>
        <w:bidi w:val="1"/>
        <w:ind w:left="720" w:right="0" w:hanging="360"/>
        <w:jc w:val="both"/>
        <w:rPr>
          <w:b w:val="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مدى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ضوء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منظومة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خيارات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وتنبني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المصفوفة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الثلاثة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الإحتمالات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المختلفة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لممارستها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تصور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أربع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إحتمالات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لممارسة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Baird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1999).</w:t>
      </w:r>
    </w:p>
    <w:p w:rsidR="00000000" w:rsidDel="00000000" w:rsidP="00000000" w:rsidRDefault="00000000" w:rsidRPr="00000000" w14:paraId="0000010F">
      <w:pPr>
        <w:bidi w:val="1"/>
        <w:ind w:left="0" w:right="0" w:firstLine="36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bidi w:val="1"/>
        <w:ind w:left="0" w:right="0" w:firstLine="36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bidi w:val="1"/>
        <w:ind w:left="0" w:right="0" w:firstLine="36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الإحتمال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الخدمي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Comprehensive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وليس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يمارس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الثلاثة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سالفة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الذكر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تعتبر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مسؤولية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ومثال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النوع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وإسرائيل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والهند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الإفريقية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3">
      <w:pPr>
        <w:bidi w:val="1"/>
        <w:ind w:left="360" w:right="0" w:firstLine="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الإحتمال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الثاني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ويطلق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يقوم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والمعروف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بإسم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LandLord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تتملك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التحتية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Infrastructure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العلوية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Superstructure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وتحتفظ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التنظيمية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النوع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السائد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أمريكا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الشمالية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وأوروبا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الغربية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وأستراليا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المحطات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ليديرها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5">
      <w:pPr>
        <w:bidi w:val="1"/>
        <w:ind w:left="360" w:right="0" w:firstLine="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الإحتمال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الثالث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يعرف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الثالث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وفيه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يسيطر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التنطيمية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بجانب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توليه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مهام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ويوجد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النوع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السائل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بترول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فحم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المستخدم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الواحد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المحطات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المجمعة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تخدم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كبير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المستخدمين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ملائم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وبالرغم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استخدم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Tilbury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Felistowe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Harwich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يشغلها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ويمتلكها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BV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هناك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إدارة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الجوانب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الملاحية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7">
      <w:pPr>
        <w:bidi w:val="1"/>
        <w:ind w:left="360" w:right="0" w:firstLine="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الإحتمال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الرابع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ويسمى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الرابع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نقيض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تصبح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تنظيم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مسؤولية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ويتصور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نظريا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ليس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تدخل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بإستثناء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ردود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الأفعال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المعينة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التعامل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السفن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المستوى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الفني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اللازم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للإبحار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Substandard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Vessels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التلوث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الحوادث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الخطيرة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يتطلب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إنسحاب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تماما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عمليات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التخطيط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التنفيذ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9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أوضحنا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ينطبق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تعريف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موجود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الحياة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الواقعية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سوى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البريطانية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ونيوزيلندا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A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عرض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الإحتمالات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مصفوفة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خيارات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1B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7398.000000000001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8"/>
        <w:gridCol w:w="1728"/>
        <w:gridCol w:w="1728"/>
        <w:gridCol w:w="2214"/>
        <w:tblGridChange w:id="0">
          <w:tblGrid>
            <w:gridCol w:w="1728"/>
            <w:gridCol w:w="1728"/>
            <w:gridCol w:w="1728"/>
            <w:gridCol w:w="2214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0">
            <w:pPr>
              <w:bidi w:val="1"/>
              <w:ind w:left="0" w:right="0" w:firstLine="0"/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bidi w:val="1"/>
              <w:ind w:left="0" w:right="0" w:firstLine="0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مصفوفة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خيارات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الخصخصة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وظيفة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التشغيل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وظيفة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الملكية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التنظيمية</w:t>
            </w:r>
          </w:p>
        </w:tc>
        <w:tc>
          <w:tcPr>
            <w:tcMar>
              <w:left w:w="43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bidi w:val="1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وظيفة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الميناء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-12064</wp:posOffset>
                      </wp:positionH>
                      <wp:positionV relativeFrom="paragraph">
                        <wp:posOffset>8890</wp:posOffset>
                      </wp:positionV>
                      <wp:extent cx="1369695" cy="457835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9695" cy="457835"/>
                              </a:xfrm>
                              <a:custGeom>
                                <a:ahLst/>
                                <a:pathLst>
                                  <a:path h="721" w="2157">
                                    <a:moveTo>
                                      <a:pt x="0" y="721"/>
                                    </a:moveTo>
                                    <a:lnTo>
                                      <a:pt x="2157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-12064</wp:posOffset>
                      </wp:positionH>
                      <wp:positionV relativeFrom="paragraph">
                        <wp:posOffset>8890</wp:posOffset>
                      </wp:positionV>
                      <wp:extent cx="1369695" cy="45783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9695" cy="457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bidi w:val="1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الميناء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عام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عام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عام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عام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عام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عام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Ι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عام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ΙΙ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ΙΙΙ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A">
            <w:pPr>
              <w:ind w:right="540"/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Source: Barid, Alfred, )1999(, Privatization Defined; Is it the Universal Panacea, available on the World Bank website: </w:t>
            </w:r>
            <w:hyperlink r:id="rId12">
              <w:r w:rsidDel="00000000" w:rsidR="00000000" w:rsidRPr="00000000">
                <w:rPr>
                  <w:color w:val="0000ff"/>
                  <w:sz w:val="26"/>
                  <w:szCs w:val="26"/>
                  <w:u w:val="single"/>
                  <w:vertAlign w:val="baseline"/>
                  <w:rtl w:val="0"/>
                </w:rPr>
                <w:t xml:space="preserve">www.worldbank.org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طبقت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Cargo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System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Cass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1996)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الإطار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التحليلي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100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مدى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مساهمة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تحديث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نتائج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الدراسة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1999،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Barid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1999)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وكانت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النتيجة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الموضح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tbl>
      <w:tblPr>
        <w:tblStyle w:val="Table6"/>
        <w:bidiVisual w:val="1"/>
        <w:tblW w:w="8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1771"/>
        <w:gridCol w:w="1771"/>
        <w:gridCol w:w="1771"/>
        <w:gridCol w:w="1771"/>
        <w:tblGridChange w:id="0">
          <w:tblGrid>
            <w:gridCol w:w="1772"/>
            <w:gridCol w:w="1771"/>
            <w:gridCol w:w="1771"/>
            <w:gridCol w:w="1771"/>
            <w:gridCol w:w="1771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0">
            <w:pPr>
              <w:bidi w:val="1"/>
              <w:ind w:left="0" w:right="0" w:firstLine="0"/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(5)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bidi w:val="1"/>
              <w:ind w:left="0" w:right="0" w:firstLine="0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مدى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الخصخصة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100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ميناء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حاويات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ΙΙΙ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ΙΙ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عام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الميناء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88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العدد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0">
            <w:pPr>
              <w:bidi w:val="1"/>
              <w:ind w:left="0" w:right="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المصدر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مصدر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السابق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55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يتبين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الشائع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88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تتبنى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يقوم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تحتفظ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بملكيتها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وأدائها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التنظيمية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يطبق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–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-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سبعة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وتوجد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الإسرائيلية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وجنوب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إفريقيا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يطبق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الثاني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مينائي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Tilbury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Felixstowe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مملوكين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يقوم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بتشغيلهما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التنظيمية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تؤديها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الثالث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لتطبيقه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ثلاثة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أيضا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Southampton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Liverpool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and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Thamesport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يسيطر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التنظيمية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والتشغيلية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7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ويتضح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–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بالمفهوم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الدقيق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-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ينطبق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محدود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سارت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نيوزيلندا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نفس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النهج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الآن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وحتى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بمفهوم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الجزئية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يسيطر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وظيفتي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والتنظيم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الغالبية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العظمى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هناك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الإطلاق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إحتل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المركز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8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خبراء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زالت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منحنى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التعلم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يوجد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واحد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مقبول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عالميا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وبصفة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الكاملة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مقبولة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المبدأ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الجزئية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تحظى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بقبول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متزايد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ويوصي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الخبراء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يجب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قبل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اختيار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ستتبناه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تتفهم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بشكل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المقصود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تحدد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أهدافها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وأولوياتها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الترتيبات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الأكثر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ملائمة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لتحقيق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الأهداف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يتفق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تاريخها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وثقافتها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وخصائصها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المميزة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Cass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1999).</w:t>
      </w:r>
    </w:p>
    <w:p w:rsidR="00000000" w:rsidDel="00000000" w:rsidP="00000000" w:rsidRDefault="00000000" w:rsidRPr="00000000" w14:paraId="00000159">
      <w:pPr>
        <w:bidi w:val="1"/>
        <w:ind w:left="0" w:right="0" w:firstLine="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ثانيا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ً: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طرق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ولعل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المفيد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نتسآءل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طرق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طبقت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والحقيقة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اتبعت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أساليب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متعددة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نعرض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أهمها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مزايا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وعيوب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5B">
      <w:pPr>
        <w:numPr>
          <w:ilvl w:val="0"/>
          <w:numId w:val="6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إدارة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 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Commercialization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5C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وفقا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يستمر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وتنظيمه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وتشغيله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والإختلاف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الوحيد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إدارته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يأخذ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الإعتبار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معيار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الربح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والخسارة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تماما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ومثاله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التقليدي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ترنداد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وتباجو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طبقته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تايلاند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2002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UNCTAD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2003).</w:t>
      </w:r>
    </w:p>
    <w:p w:rsidR="00000000" w:rsidDel="00000000" w:rsidP="00000000" w:rsidRDefault="00000000" w:rsidRPr="00000000" w14:paraId="0000015D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يجعل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يتمتع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بمرونة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كبيرة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نتيجة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التدخل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يصبح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أكثر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تجاوبا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متطلبات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عملائه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ترشيد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الإنفاق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الجاري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والإستثماري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وإختيار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عمالة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ماهرة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لتحل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العمالة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المؤهلة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وتنمو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قدرته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التمويل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الذاتي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إحتفاظه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بقنوات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إتصال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تمكنه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تمويل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للإنشاءات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الرئيسية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5E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الخبراء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يعزو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إستمرار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الإحتكار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تلجأ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حماية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الأسعار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المرتفعة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بالرغم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المشتريات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والتعاقدات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والممارسات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تظل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خاضعة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للوائح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F">
      <w:pPr>
        <w:numPr>
          <w:ilvl w:val="0"/>
          <w:numId w:val="6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التحرير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: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Liberalization</w:t>
      </w:r>
    </w:p>
    <w:p w:rsidR="00000000" w:rsidDel="00000000" w:rsidP="00000000" w:rsidRDefault="00000000" w:rsidRPr="00000000" w14:paraId="00000160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ويهدف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إيجاد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تنافسية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بهدف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تحسين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الأداء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إحتكار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بالسماح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بتأدية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نفس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إدارة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تنافسية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تنافسية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كاملة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1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وتطبيقات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محدودة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آسيا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كانت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أكثر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تطبيقا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وتجدر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الإشارة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مصر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حررت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معظم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داخليا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سمح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بمزاولة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بموجب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القرار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رقم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(1)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لسنة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1998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نجاحا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يذكر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السوق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يحول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المنافسة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حروب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أسعار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منافسة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مخربة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2">
      <w:pPr>
        <w:numPr>
          <w:ilvl w:val="0"/>
          <w:numId w:val="6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تحويل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Corporatization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63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وفقا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يستمر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كوحدة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LandLord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منحه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واستقلالية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ويتحول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مساهمة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تخضع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لقانون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المساهمة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اتبع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أستراليا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والسويد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وماليزيا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السويد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Goteborg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مسؤولية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محدودة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وتمتلك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مدينة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Goteborg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جميع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وكذا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مدينة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Brisbane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بأستراليا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تحولت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تخضع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لقانون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المساهمة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Klang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بماليزيا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كانت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تؤجر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64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ذهب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ضمان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مؤكدة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تمارس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ضغوطا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لايجاد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توزيع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العوائد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لولاية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تخضع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لتشريعات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تجعلها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أشبه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المساهمة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5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والواقع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تجربة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أستراليا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تفصح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برنامج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اصلاح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النتائج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المرجوة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سواء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التحرير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Everett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and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Robiason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1998).</w:t>
      </w:r>
    </w:p>
    <w:p w:rsidR="00000000" w:rsidDel="00000000" w:rsidP="00000000" w:rsidRDefault="00000000" w:rsidRPr="00000000" w14:paraId="00000166">
      <w:pPr>
        <w:numPr>
          <w:ilvl w:val="0"/>
          <w:numId w:val="6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المشاركة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Joint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Venture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67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ويقصد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إنشاء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مؤسسة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مملوكة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مشتركة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لطرفين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أكثر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ومستقلة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إداريا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مالكيها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منافع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متبادلة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لأطرافه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يكون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أداة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التكنولوجيا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والخبرات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لأحد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الأطراف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يستفيد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الطرف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الآخر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إختراق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السوق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مصلحة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مشتركة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للطرفين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توزيع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المخاطر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الإستثمارية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المشروعات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الكبرى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8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وتشترك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الصينية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محطات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هونج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كنج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HIT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مثل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Shanghai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Yantian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Shantou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Delta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Port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of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Nanhai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and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Xiaman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وعادة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نسبة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مشاركة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الأجانب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محدودة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بإستثناء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أسست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Shanghai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بلغت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نسبة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المشاركة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50%،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الإتفاق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إنشاء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Qingdao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بالمشاركة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COSCO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Mersk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Sea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Land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P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&amp;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O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Yao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-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dong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2003).</w:t>
      </w:r>
    </w:p>
    <w:p w:rsidR="00000000" w:rsidDel="00000000" w:rsidP="00000000" w:rsidRDefault="00000000" w:rsidRPr="00000000" w14:paraId="00000169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إتفقت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مالطا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بريطانية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إنشاء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Marsaxlokk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A">
      <w:pPr>
        <w:numPr>
          <w:ilvl w:val="0"/>
          <w:numId w:val="6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عقود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الإدارة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Management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Contracts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تعهد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طرف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ثالث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خبرة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لإدارة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تسهيلات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جزئيا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محددة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لتحقيق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أرباح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إحتفاظ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ومسؤوليتها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تقديم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رأس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أبرمت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المتطورة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عقودا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لإدارة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مثلا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تعاقد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جبل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إدارة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بيروت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شهد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2002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إلغاء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التعاقد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أثار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النوع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المشكلات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تطبيقه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ذاته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UNCTAD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2003)</w:t>
      </w:r>
    </w:p>
    <w:p w:rsidR="00000000" w:rsidDel="00000000" w:rsidP="00000000" w:rsidRDefault="00000000" w:rsidRPr="00000000" w14:paraId="0000016C">
      <w:pPr>
        <w:numPr>
          <w:ilvl w:val="0"/>
          <w:numId w:val="6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الإمتياز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Concession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يذهب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المقصود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بالإمتياز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يذهب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آخرون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المقصود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BOT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)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Build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Operate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and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Transfer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الراجح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الإمتياز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يتضمن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فضلا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الترخيص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Franchise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الإمتياز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يشير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ترتيبات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يحصل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بمقتضاها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المشروع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توريد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معينة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يكون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الإمتياز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WB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1998).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ويلاحظ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BOT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مزايا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وعيوب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إبراهيم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2003).</w:t>
      </w:r>
    </w:p>
    <w:p w:rsidR="00000000" w:rsidDel="00000000" w:rsidP="00000000" w:rsidRDefault="00000000" w:rsidRPr="00000000" w14:paraId="0000016E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ونظرا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أساليب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يعتبر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الأكثر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إنتشارا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كانت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كوريا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إعتمدت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وحققت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نجاحا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نسبيا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فسنعرض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بشئ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التفصيل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للتجربة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الكورية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16F">
      <w:pPr>
        <w:bidi w:val="1"/>
        <w:ind w:left="360" w:right="0" w:firstLine="0"/>
        <w:jc w:val="both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فقد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بدأت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المرحلة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الأولى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الكورية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النصف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الثاني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سبعينيات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القرن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الماضي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إقتصرت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البداية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التسهيلات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اللأزمة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لتداول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البضائع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والتخزين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مستهدفة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1991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ثاني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محطات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كوريا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Busan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أنشأها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كونسورتيوم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يضم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عشر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شحن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وتفريغ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أسندت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بكوريا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Jasungdai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لإدارتها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أربع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أرصفة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بوسان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وأربعة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Kwangyang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1998،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وأجرت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Shinsudae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هيونداي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1999،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وعموما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الكورية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إستخدمت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ثلاثة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أساليب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numPr>
          <w:ilvl w:val="0"/>
          <w:numId w:val="17"/>
        </w:numPr>
        <w:bidi w:val="1"/>
        <w:ind w:left="720" w:right="0" w:hanging="288"/>
        <w:jc w:val="both"/>
        <w:rPr/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عقود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قصير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الأجل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71">
      <w:pPr>
        <w:bidi w:val="1"/>
        <w:ind w:left="72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نوعين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يبرم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واحد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بمقتضاه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تسهيلات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مناولة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البضائع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والتخزين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والصوامع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والسيور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النقالة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والمباني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الإدارية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يشمل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الأرصفة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والساحات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وتتكون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القيمة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الإيجارية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شقين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جزء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ثابت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نسبة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رأس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المستثمر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جزء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إيجار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إضافي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نسبة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حجم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الأعمال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2">
      <w:pPr>
        <w:bidi w:val="1"/>
        <w:ind w:left="72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أما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النوع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الثاني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عقود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قصير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الأجل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فمدته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تتراوح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سنتين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ثلاث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سنوات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شرعت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إبرام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النوعية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العقود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1997،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العقود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بمحطات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البضائع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وطبقا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العقود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تجهز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التحتية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أرصفة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وساحات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تخزينية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مناولة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البضائع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أساسا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بأوناش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السفن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بمعاونة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المعدات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الأرضية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وتقدم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المستأجرة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المناولة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الثابتة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3">
      <w:pPr>
        <w:bidi w:val="1"/>
        <w:ind w:left="72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ويختلف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سابقه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يسمح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بممارسة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أعمال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الرصيف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جنبا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جنب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ممارسة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التخزين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والعمل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الساحات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الإيجار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السنوي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ثابت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مربع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الساحات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المخازن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وطبقا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لشروط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تفشل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الإستمرار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يفتح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المنافسة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مصرعيه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4">
      <w:pPr>
        <w:numPr>
          <w:ilvl w:val="0"/>
          <w:numId w:val="18"/>
        </w:numPr>
        <w:bidi w:val="1"/>
        <w:ind w:left="720" w:right="0" w:hanging="288"/>
        <w:jc w:val="both"/>
        <w:rPr/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عقود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طويلة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الأجل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75">
      <w:pPr>
        <w:bidi w:val="1"/>
        <w:ind w:left="720" w:right="0" w:firstLine="72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ومدتها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عشرة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سنوات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وتختلف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جذريا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عقود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قصير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الأجل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بكاملها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ساحات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ومباني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إدارية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وأوناش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عملاقة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ويقدم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أوناش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الساحات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وتتحدد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القيمة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الإيجارية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أساس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إيجار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ثابت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يتحدد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بكمية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تداول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أساسية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ترتبط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بطاقة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المحطة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يضاف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إيجار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إضافي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يتحدد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بالكميات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الإضافية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تداولهاعلى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الآتي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   50%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إيرادات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المتداولة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الأساسية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حتى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50%، </w:t>
      </w:r>
    </w:p>
    <w:p w:rsidR="00000000" w:rsidDel="00000000" w:rsidP="00000000" w:rsidRDefault="00000000" w:rsidRPr="00000000" w14:paraId="00000176">
      <w:pPr>
        <w:bidi w:val="1"/>
        <w:ind w:left="720" w:right="0" w:firstLine="72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40%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إيرادات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المتداولة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الأساسية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50%.</w:t>
      </w:r>
    </w:p>
    <w:p w:rsidR="00000000" w:rsidDel="00000000" w:rsidP="00000000" w:rsidRDefault="00000000" w:rsidRPr="00000000" w14:paraId="00000177">
      <w:pPr>
        <w:numPr>
          <w:ilvl w:val="0"/>
          <w:numId w:val="20"/>
        </w:numPr>
        <w:bidi w:val="1"/>
        <w:ind w:left="720" w:right="0" w:hanging="288"/>
        <w:jc w:val="both"/>
        <w:rPr/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عقود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BOT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78">
      <w:pPr>
        <w:bidi w:val="1"/>
        <w:ind w:left="72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أصدرت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قانون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تطوير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تسهيلات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1996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لتشجيع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المساهمة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تطويرها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وضعت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شاملة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لتطوير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التسعة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القائمة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الراغبة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تطوير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-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وفقا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-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التقدم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بمقترحها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إختياره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لإجراء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التطور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وبعد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التقييم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أفضل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العروض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المقدمة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إختياره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لإجراء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التطوير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ويتضمن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التعاقد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فترة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الإمتياز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والرسوم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والحوافز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المقدمة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للمستثمر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ولكنها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موضوعات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قابلة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للتفاوض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ضوء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إجمالي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الإستثمارات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والعائد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المتوقع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النوع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المشروعات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بتنفيذ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حواجز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الأمواج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وتطهير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القنوات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يقدم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المستثمر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التسهيلات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ظل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القانون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نفذت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بوسان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الجديدة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-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أنشأها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كونسورتيوم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مكون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سامسونج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وخمسة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وعشرين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إنشاءات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-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أربعة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وعشرون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رصيفا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نفذت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موبو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-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أسستها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دايو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هالا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للإنشاءات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-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رصيفي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متعددي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الأغراض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الصلب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نفذت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ثلاثة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أرصفة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للخردة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إنشون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Kim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2000 ).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يلاحظ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كانت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المشروعات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الجديدة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وجميعها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الإمتيازات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قصير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وطويل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BOT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بدأت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لممارسة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المناولة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والتخزين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مرحلة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لاحقة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أضيفت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أعمال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الرصيف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numPr>
          <w:ilvl w:val="0"/>
          <w:numId w:val="6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 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Assets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Sale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ويقصد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التحتية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العلوية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المعدات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يوجد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طرق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مباشر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بورصة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الأوراق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المالية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يثير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مشكلات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عديدة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أهمها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إمكانية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وقوع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منافسين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أجنبية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تسعى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كثير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بسط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سيطرتها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كنوع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التكامل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الأفقي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الملاحية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تسعى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تحقيق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التكامل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الرأسي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هيمنتها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إبراهيم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2002 –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طريقة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تقييم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والأسهم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يكتنفها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كثير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الصعوبات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طرق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التقييم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تؤدي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تبدبد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الثروة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إبراهيم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1998).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أسفرت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تجربة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التقييم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شابه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عيوب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أدت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بثمن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بخس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وإستفاد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الأراضي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القريبة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المياه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بأثمان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مرتفعة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ويتسآءل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الخبراء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سيقوم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بإنشاء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التوسعات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الجديدة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-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الإحتياج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إليها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-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دعم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Baird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1995).</w:t>
      </w:r>
    </w:p>
    <w:p w:rsidR="00000000" w:rsidDel="00000000" w:rsidP="00000000" w:rsidRDefault="00000000" w:rsidRPr="00000000" w14:paraId="0000017B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الطريقة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الوحيدة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ينطبق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إصطلاح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باقي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الوسائل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تعدو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كونها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محاولات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مختلفة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لإشراك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إستمرار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يؤكد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مجددا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إنتشار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بمفهومها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الإصطلاحي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C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الدراسة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أعدتها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جامعة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Napier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1999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اكبر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80%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طرق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اتبعت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كانت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tbl>
      <w:tblPr>
        <w:tblStyle w:val="Table7"/>
        <w:bidiVisual w:val="1"/>
        <w:tblW w:w="829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6"/>
        <w:gridCol w:w="1260"/>
        <w:gridCol w:w="1152"/>
        <w:gridCol w:w="1152"/>
        <w:gridCol w:w="1152"/>
        <w:gridCol w:w="1745"/>
        <w:tblGridChange w:id="0">
          <w:tblGrid>
            <w:gridCol w:w="1836"/>
            <w:gridCol w:w="1260"/>
            <w:gridCol w:w="1152"/>
            <w:gridCol w:w="1152"/>
            <w:gridCol w:w="1152"/>
            <w:gridCol w:w="174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D">
            <w:pPr>
              <w:bidi w:val="1"/>
              <w:ind w:left="0" w:right="0" w:firstLine="0"/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(6)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bidi w:val="1"/>
              <w:ind w:left="0" w:right="0" w:firstLine="0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طرق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الخصخصة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ميناء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حاويات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التحول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شركة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بيع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الأصول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المشاركة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تأجير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طريقة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الخصخصة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النسبة</w:t>
            </w:r>
            <w:r w:rsidDel="00000000" w:rsidR="00000000" w:rsidRPr="00000000">
              <w:rPr>
                <w:vertAlign w:val="baseline"/>
                <w:rtl w:val="1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0">
            <w:pPr>
              <w:bidi w:val="1"/>
              <w:ind w:left="0" w:right="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المصدر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الباحث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إستنادا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بيانات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Napier</w:t>
            </w:r>
          </w:p>
          <w:p w:rsidR="00000000" w:rsidDel="00000000" w:rsidP="00000000" w:rsidRDefault="00000000" w:rsidRPr="00000000" w14:paraId="00000191">
            <w:pPr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Cited from: Baird, Alfred J. (2002), Privatization Trends at the World’s Top 100 Container Ports, </w:t>
            </w: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International Association for Maritime Economists Annual Conference Proceedings.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bidi w:val="1"/>
        <w:ind w:left="36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يتضح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نسبة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بمفهومها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الدقيق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متواضعة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للغاية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باقي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الطرق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تعتبر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قبيل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النسبة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الغالبة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خصوصا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الإمتياز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بنوعيه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BOT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بلغت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نسبته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71%،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الطريقة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متبعة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كوريا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التحول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بلغ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13%،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أبرز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المجال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السويد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وأستراليا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المشاركة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نسبته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10%،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نجاحا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كبيرا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متبع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وأخيرا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إتبعته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نيوزيلندا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ذكره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98">
      <w:pPr>
        <w:bidi w:val="1"/>
        <w:ind w:left="0" w:right="0" w:firstLine="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ثالثا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ً: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دوافع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لعل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الملائم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نتسائل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أسباب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وبإستقراء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الأسباب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أدبيات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هناك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الدوافع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الأسباب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أجلها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ونعرض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الأسباب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9A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الأسباب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سيقت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لتبرير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ترتكز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إنخفاض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يؤدي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وإنخفاض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الإنتاجية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أسعار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خصوصا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أخذنا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الإعتبار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عمالة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زائدة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وسيطرة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نقابات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العمال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وقدرتها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أجورها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بشكل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مبرر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الإحتكار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النتيجة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النهائية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الواردات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المنافسة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ناهيك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النفاذ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السوق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Sherman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1999 ).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الوضع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متسقا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إتباع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سياسة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إحلال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بدائل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الواردات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تصبح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الواردات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مرتفعة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يشجع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تصنيع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بدائل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الواردات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محليا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التحول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إستراتيجية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الصادرات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النمو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Export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Led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Growth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إرتفاع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التصدير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أيضا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ويجعل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تنافسية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عائق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للنمو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خصوصا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تعتمد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مباشرة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ويؤكدون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وجهة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نظرهم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بالمقارنة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إنتاج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الصويا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وتكلفة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البرازيل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والولايات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تبلغ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إنتاج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الطن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البرازيل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165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دولارا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تبلغ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الولايات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195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دولارا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تحميله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السفينة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تبلغ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65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دولارا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البرازيل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20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دولارا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الولايات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يكون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الإجم</w:t>
      </w:r>
    </w:p>
    <w:p w:rsidR="00000000" w:rsidDel="00000000" w:rsidP="00000000" w:rsidRDefault="00000000" w:rsidRPr="00000000" w14:paraId="0000019B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الولايات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215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دولارا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البرازيل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230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دولارا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إرتفاع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قضى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الميزة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النسبية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للبرازيل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9C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يضيف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أسبابا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توفير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التمويل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اللازم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لتحديث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وإزالة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العقبات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المؤسسية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وتخفيف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العبء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الموازنة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الثروة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وتوسيع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D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وتشير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P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&amp;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O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هيئات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دوافع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تتكون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مجموعة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معقدة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الإعتبارات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الإجتماعية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والإقتصادية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والأهداف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كتخفيف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العبء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الإداري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وتحفيز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المنظمين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والإستثمار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وتحجيم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التكنولوجيا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وتحسين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نوعية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العمالة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التدريب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فضلا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مساهمة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صياغة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أهداف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السياسات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Cass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1999 ).</w:t>
      </w:r>
    </w:p>
    <w:p w:rsidR="00000000" w:rsidDel="00000000" w:rsidP="00000000" w:rsidRDefault="00000000" w:rsidRPr="00000000" w14:paraId="0000019E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المستوى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التطبيقي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أفصحت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تجارب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دوافع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طبقتها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تخرج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الدوافع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سالفة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الذكر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بإستثناء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التجربة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الإنجليزية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أضافت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سببين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آخرين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دخل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تشجيع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مساهمة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العاملين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F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وتبين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الإستقصاء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أجرته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جامعة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Napier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سالف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الذكر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أهداف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علىالنحو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المعروض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tbl>
      <w:tblPr>
        <w:tblStyle w:val="Table8"/>
        <w:bidiVisual w:val="1"/>
        <w:tblW w:w="8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6"/>
        <w:gridCol w:w="1476"/>
        <w:gridCol w:w="1476"/>
        <w:gridCol w:w="1476"/>
        <w:gridCol w:w="1476"/>
        <w:gridCol w:w="1476"/>
        <w:tblGridChange w:id="0">
          <w:tblGrid>
            <w:gridCol w:w="1476"/>
            <w:gridCol w:w="1476"/>
            <w:gridCol w:w="1476"/>
            <w:gridCol w:w="1476"/>
            <w:gridCol w:w="1476"/>
            <w:gridCol w:w="1476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0">
            <w:pPr>
              <w:bidi w:val="1"/>
              <w:ind w:left="0" w:right="0" w:firstLine="0"/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(7)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bidi w:val="1"/>
              <w:ind w:left="0" w:right="0" w:firstLine="0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إستقصاء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Napier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أهداف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الخصخصة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أخرى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الحصول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المعرفة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الإدارية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خفض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تكلفة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الإستثمار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توسيع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التجارة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الكفاءة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وخفض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التكلفة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الأهداف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50%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النسبة</w:t>
            </w:r>
            <w:r w:rsidDel="00000000" w:rsidR="00000000" w:rsidRPr="00000000">
              <w:rPr>
                <w:vertAlign w:val="baseline"/>
                <w:rtl w:val="1"/>
              </w:rPr>
              <w:t xml:space="preserve"> % 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3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المصدر</w:t>
            </w:r>
            <w:r w:rsidDel="00000000" w:rsidR="00000000" w:rsidRPr="00000000">
              <w:rPr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مصدر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السابق</w:t>
            </w:r>
          </w:p>
          <w:p w:rsidR="00000000" w:rsidDel="00000000" w:rsidP="00000000" w:rsidRDefault="00000000" w:rsidRPr="00000000" w14:paraId="000001B4">
            <w:pPr>
              <w:numPr>
                <w:ilvl w:val="2"/>
                <w:numId w:val="8"/>
              </w:numPr>
              <w:bidi w:val="1"/>
              <w:ind w:left="360" w:right="0" w:hanging="360"/>
              <w:jc w:val="both"/>
              <w:rPr/>
            </w:pPr>
            <w:r w:rsidDel="00000000" w:rsidR="00000000" w:rsidRPr="00000000">
              <w:rPr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المشارك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الإستقصاء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يمكنه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إختيار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أكثر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هدف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للخصخصة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السبب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الرئيسي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يليها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توسيع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وخفض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الإستثمار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المعرفة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الإدارية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والواقع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بند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يتضمن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تطوير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مشاركة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BC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المتأمل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الأسباب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المبررة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يدرك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الأهداف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مجملها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تتمحور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بمفهومها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الواسع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تؤدي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تخفيض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التكلفة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والإستثمارية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ويتضمن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السعي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المعرفة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الإدارية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التكنولوجيا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بأساليب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تخفيض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أسعار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القدرة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التنافسية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توسيع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D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وببحث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العلاقة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الدراسات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التطبيقية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والوقائع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أثبتت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يدع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مجالا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للشك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إنفصام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العلاقة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أكدت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الدراسات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التطبيقية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علاقة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صناعة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بصفة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بصفة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BE">
      <w:pPr>
        <w:numPr>
          <w:ilvl w:val="2"/>
          <w:numId w:val="21"/>
        </w:numPr>
        <w:bidi w:val="1"/>
        <w:ind w:left="720" w:right="0" w:hanging="43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أوضحت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إحدى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الدراسات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التطبيقية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صناعة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تتضمن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الخطوط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الجوية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ربحية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أكثر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بشكل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يوجد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توازن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بينهما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Tandon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1997).</w:t>
      </w:r>
    </w:p>
    <w:p w:rsidR="00000000" w:rsidDel="00000000" w:rsidP="00000000" w:rsidRDefault="00000000" w:rsidRPr="00000000" w14:paraId="000001BF">
      <w:pPr>
        <w:numPr>
          <w:ilvl w:val="2"/>
          <w:numId w:val="10"/>
        </w:numPr>
        <w:bidi w:val="1"/>
        <w:ind w:left="720" w:right="0" w:hanging="43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دراسة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توضح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السكك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الحديدية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الكندية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أكثر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السكك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الحديدية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الأمريكية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Caves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et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al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1982).</w:t>
      </w:r>
    </w:p>
    <w:p w:rsidR="00000000" w:rsidDel="00000000" w:rsidP="00000000" w:rsidRDefault="00000000" w:rsidRPr="00000000" w14:paraId="000001C0">
      <w:pPr>
        <w:numPr>
          <w:ilvl w:val="2"/>
          <w:numId w:val="1"/>
        </w:numPr>
        <w:bidi w:val="1"/>
        <w:ind w:left="720" w:right="0" w:hanging="43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دراسة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الأسترالية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برنامج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الإصلاح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إعتمد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Corporatization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النتائج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المرجوة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سواء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التحرير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ذكره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1">
      <w:pPr>
        <w:numPr>
          <w:ilvl w:val="2"/>
          <w:numId w:val="3"/>
        </w:numPr>
        <w:bidi w:val="1"/>
        <w:ind w:left="720" w:right="0" w:hanging="43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إنتهت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دراسة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حديثة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أجريت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إثني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عشر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ً: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خمس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وخمس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-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ومينائين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وجميعها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لدراسة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العلاقة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الهيكل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التنظيمي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ونمط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بإستخدام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تحليل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Cluster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،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DEA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وتحليل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التمايز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إنتهت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الدراسة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إنفصال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العلاقة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وارتباط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بنمط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الهيكل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التنظيمي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تزيد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الهياكل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التنظيمية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البسيطة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الهياكل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البيروقراطية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وذات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الأقسام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المتعددة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بلغت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الهياكل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البسيطة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ضعف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Vince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and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Gray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2002).</w:t>
      </w:r>
    </w:p>
    <w:p w:rsidR="00000000" w:rsidDel="00000000" w:rsidP="00000000" w:rsidRDefault="00000000" w:rsidRPr="00000000" w14:paraId="000001C2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وعموما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الفكر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الآن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الوقوف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وعلاقتها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إتجهت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عديدة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التخطيط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لإنشاء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يقوم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آلية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كاملة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المحطات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تدخل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البشري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Choi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2002).</w:t>
      </w:r>
    </w:p>
    <w:p w:rsidR="00000000" w:rsidDel="00000000" w:rsidP="00000000" w:rsidRDefault="00000000" w:rsidRPr="00000000" w14:paraId="000001C3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bidi w:val="1"/>
        <w:ind w:left="0" w:right="0" w:firstLine="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رابعا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هل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حققت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أهدافها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لكي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نجيب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السؤال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سنعود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لنتائج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الإستقصاء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أجرته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جامعة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Napier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نقارن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بالكامل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وسنغافورا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زالت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إطار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فبالرجوع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الإستقصاء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المشاركين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الإستقصاء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أوضحوا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مساوئ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مشكلات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صعوبات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إختيار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المشغل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إجراءات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التأجير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والتأمين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Securing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ومساوئ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تشمل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محدودية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العائد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وسيطرة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إحتكار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صعوبة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التنسيق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وجود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منافسة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عادلة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معاملة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تفضيلية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الموضح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الآتي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tbl>
      <w:tblPr>
        <w:tblStyle w:val="Table9"/>
        <w:bidiVisual w:val="1"/>
        <w:tblW w:w="8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6"/>
        <w:gridCol w:w="1476"/>
        <w:gridCol w:w="1476"/>
        <w:gridCol w:w="1476"/>
        <w:gridCol w:w="1476"/>
        <w:gridCol w:w="1476"/>
        <w:tblGridChange w:id="0">
          <w:tblGrid>
            <w:gridCol w:w="1476"/>
            <w:gridCol w:w="1476"/>
            <w:gridCol w:w="1476"/>
            <w:gridCol w:w="1476"/>
            <w:gridCol w:w="1476"/>
            <w:gridCol w:w="1476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6">
            <w:pPr>
              <w:bidi w:val="1"/>
              <w:ind w:left="0" w:right="0" w:firstLine="0"/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(8)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bidi w:val="1"/>
              <w:ind w:left="0" w:right="0" w:firstLine="0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إستقصاء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جامعة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Napier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مساوئ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أخرى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طول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التأجير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صعوبات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إختيار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المشغل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مشكلات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تجارية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فقد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حاويات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bidi w:val="1"/>
              <w:ind w:left="0" w:right="0" w:firstLine="0"/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1"/>
              </w:rPr>
              <w:t xml:space="preserve">المساوئ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bidi w:val="1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bidi w:val="1"/>
              <w:ind w:left="0" w:right="0" w:firstLine="0"/>
              <w:jc w:val="both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1"/>
              </w:rPr>
              <w:t xml:space="preserve">النسبة</w:t>
            </w:r>
            <w:r w:rsidDel="00000000" w:rsidR="00000000" w:rsidRPr="00000000">
              <w:rPr>
                <w:sz w:val="26"/>
                <w:szCs w:val="26"/>
                <w:vertAlign w:val="baseline"/>
                <w:rtl w:val="1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9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المصدر</w:t>
            </w:r>
            <w:r w:rsidDel="00000000" w:rsidR="00000000" w:rsidRPr="00000000">
              <w:rPr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مصدر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السابق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DF">
      <w:pPr>
        <w:bidi w:val="1"/>
        <w:ind w:left="0" w:right="0" w:firstLine="0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وبالتأمل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المساوئ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إنخفاض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ففقد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وطول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الإجراءات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والمشكلات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وصعوبات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إختيار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المشغل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وصف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لإنخفاض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معناه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الهدف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ولكي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نتأكد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النتيجة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يجدر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نشير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الإستقصاء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ذاته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يجب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يكون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الأساسية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ومراقبة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وتنظيم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خصوصا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يتعلق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بإجراءات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السلامة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ضمان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المنافسة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العادلة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التسويق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والتخطيط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وحماية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جوانب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السلعة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يقصد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حماية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الإستراتيجية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والأمن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عوامل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تتضمن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النظرة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الإقليمية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تمويل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المحطات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يدعم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تسهيل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tbl>
      <w:tblPr>
        <w:tblStyle w:val="Table10"/>
        <w:bidiVisual w:val="1"/>
        <w:tblW w:w="885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  <w:tblGridChange w:id="0">
          <w:tblGrid>
            <w:gridCol w:w="1107"/>
            <w:gridCol w:w="1107"/>
            <w:gridCol w:w="1107"/>
            <w:gridCol w:w="1107"/>
            <w:gridCol w:w="1107"/>
            <w:gridCol w:w="1107"/>
            <w:gridCol w:w="1107"/>
            <w:gridCol w:w="1107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1">
            <w:pPr>
              <w:bidi w:val="1"/>
              <w:ind w:left="0" w:right="0" w:firstLine="0"/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(9)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bidi w:val="1"/>
              <w:ind w:left="0" w:right="0" w:firstLine="0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الإستقصاء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الدور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أخرى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قيادة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الكفاءة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التسويق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والتخطيط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جوانب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السلع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العامة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التسعير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والمنافسة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العادلة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السلامة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البنية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الأساسية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دور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العام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46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النسبة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FA">
            <w:pPr>
              <w:bidi w:val="1"/>
              <w:ind w:left="0" w:right="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المصدر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مصدر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السابق</w:t>
            </w:r>
            <w:r w:rsidDel="00000000" w:rsidR="00000000" w:rsidRPr="00000000">
              <w:rPr>
                <w:sz w:val="22"/>
                <w:szCs w:val="2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02">
      <w:pPr>
        <w:bidi w:val="1"/>
        <w:ind w:left="0" w:right="0" w:firstLine="0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ولعل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نافلة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نذكر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أكثر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نجاحا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بالكامل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ونجاح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الصدفة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نتاج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لتدخل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حكومي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يأخذ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بزمام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المبادرة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وينفذ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إستراتيجيات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وسياسات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ملائمة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تحقيق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يعتبر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مثالا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لنموذج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التدخل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تتبناه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يدار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وتمويل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ذاتي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وينافس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المساواة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بالرغم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كونه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تشغيله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تتسق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أولويات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وأهداف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4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أنشأت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1964،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تحويله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Corporation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1997،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يتولى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مجلس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إدارتها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تنظيم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ومراقبة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الملاحة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منطقة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إشراف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وزارة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الإتصالات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مسؤول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تصميم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وتنفيذ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الإستراتيجيات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الملائمة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لتحقيق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الأهداف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المنوطة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أثبت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كفاءته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السنين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يتجاوب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فرص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الأعمال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الجديدة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ويواجه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التحديات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والتغييرات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بيئة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وإستطاع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يتربع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الأقطرمه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Transshipment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السياسات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الآتية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05">
      <w:pPr>
        <w:numPr>
          <w:ilvl w:val="0"/>
          <w:numId w:val="15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توفير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طاقة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كبيرة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تحتية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تمكنه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تلبية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إحتياجات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الطلب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المستقبلي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6">
      <w:pPr>
        <w:numPr>
          <w:ilvl w:val="0"/>
          <w:numId w:val="15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قدم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الحوافز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لإجتذاب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السفن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07">
      <w:pPr>
        <w:numPr>
          <w:ilvl w:val="1"/>
          <w:numId w:val="19"/>
        </w:numPr>
        <w:bidi w:val="1"/>
        <w:ind w:left="1224" w:right="0" w:hanging="144.00000000000006"/>
        <w:jc w:val="both"/>
        <w:rPr/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وضع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نظام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للبضائع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الصينية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1975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لتشجيع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8">
      <w:pPr>
        <w:numPr>
          <w:ilvl w:val="1"/>
          <w:numId w:val="19"/>
        </w:numPr>
        <w:bidi w:val="1"/>
        <w:ind w:left="1224" w:right="0" w:hanging="144.00000000000006"/>
        <w:jc w:val="both"/>
        <w:rPr/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1979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وضع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نظام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يعطي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الأولوية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لسفن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الخطوط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الملاحية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التراكي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بشرط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يضمن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الملاحي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أدنى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الحاويات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9">
      <w:pPr>
        <w:numPr>
          <w:ilvl w:val="1"/>
          <w:numId w:val="19"/>
        </w:numPr>
        <w:bidi w:val="1"/>
        <w:ind w:left="1224" w:right="0" w:hanging="144.00000000000006"/>
        <w:jc w:val="both"/>
        <w:rPr/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تنويع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يقوم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فبجانب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التقليدية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يقدم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التمويل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والتأمين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بالتعاون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بنوك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متعددة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ING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وبنك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بسنغافورا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نادي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P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&amp;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I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إفتتح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مكتبا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إقليميا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ويجري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مفاوضات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لإفتتاح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فرعا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للويدز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A">
      <w:pPr>
        <w:numPr>
          <w:ilvl w:val="0"/>
          <w:numId w:val="15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قام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بالترويج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للعلم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السنغافوري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قفزت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لتحتل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المركز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السابع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حوافز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1991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لملاك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السفن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لتسجيل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سفنهم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وإتخاذ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قاعدة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لشركاتهم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تتمثل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إعفاء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ضريبي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عشر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سنوات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بشرط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ترفع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10%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سفنها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السنغافوري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أسفرت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السياسة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جذب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36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ملاحية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تشغل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500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سفينة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B">
      <w:pPr>
        <w:numPr>
          <w:ilvl w:val="0"/>
          <w:numId w:val="15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تروج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مركز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لوجستي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متكامل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ينفذ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C">
      <w:pPr>
        <w:numPr>
          <w:ilvl w:val="0"/>
          <w:numId w:val="15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تسوق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الخبرات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الإستثمارية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عالميا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وبصفة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تكنولوجيا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نظم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وعمليات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وإدارة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لوجستيات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D">
      <w:pPr>
        <w:numPr>
          <w:ilvl w:val="0"/>
          <w:numId w:val="15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يتبنى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إستراتيجية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التعاون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والتحالف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أجل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المنافسة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أقام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علاقات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تعاون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أخرى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والهند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وافريقيا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العلاقات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شبكة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المحوري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الرافدية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والآن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الأقطرية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Transshipment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أيضا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يستحوذ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13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10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مختلفة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Tanjon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2002).</w:t>
      </w:r>
    </w:p>
    <w:p w:rsidR="00000000" w:rsidDel="00000000" w:rsidP="00000000" w:rsidRDefault="00000000" w:rsidRPr="00000000" w14:paraId="0000020E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وبالطبع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حققه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ظل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يقارن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حققته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بالكامل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النصف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تسعينات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القرن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الماضي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صحيح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أصبحت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أكثر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ربحية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قبل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بسبب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حصولها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بثمن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بخس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جهة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حققت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أرباح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عقارية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إعادة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الأراضي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القريبة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المياه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النحو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السابق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بيانه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إنخفاض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مديونيتها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تمتعها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بمزايا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الإحتكار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والتنظيم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الذاتي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يجعل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الأرباح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حقيقية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الخبراء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يجزمون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الإنسحاب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الكامل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صناعة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وظاهرة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فريدة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مبررة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نتجت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سياسات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المحافظين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السابقة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يوجد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الإعتبارات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تبرر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النكوص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السياسات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وإسترداد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لدورها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Baird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1999 ).</w:t>
      </w:r>
    </w:p>
    <w:p w:rsidR="00000000" w:rsidDel="00000000" w:rsidP="00000000" w:rsidRDefault="00000000" w:rsidRPr="00000000" w14:paraId="0000020F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تجدر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الإشارة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تجارب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بادرت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بتطبيق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برامج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تفصح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تفضي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العيوب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الخطيرة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تزيد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المخاطر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وظائف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يعهد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إدارة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ربما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تهمل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ظل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ينصب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إهتمام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المستثمرين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خفض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التكاليف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وتعظيم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الأرباح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يميلون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تنفيذ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والتسهيلات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الضرورية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وجهة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النظر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البيئية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والإجتماعية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لكونها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عائدا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يتناسب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الإحتكار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غالبا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يتحول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إحتكار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يسيئ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سمعة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ويحد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الطلب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ويقلل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إمكانيات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تطويره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Sherman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, 1999).</w:t>
      </w:r>
    </w:p>
    <w:p w:rsidR="00000000" w:rsidDel="00000000" w:rsidP="00000000" w:rsidRDefault="00000000" w:rsidRPr="00000000" w14:paraId="00000210">
      <w:pPr>
        <w:bidi w:val="1"/>
        <w:ind w:left="0" w:right="0"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bidi w:val="1"/>
        <w:ind w:left="0" w:right="0"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خامسا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ً: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الخاتمة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جماع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نستطيع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نستلهم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الدروس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13">
      <w:pPr>
        <w:numPr>
          <w:ilvl w:val="0"/>
          <w:numId w:val="9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ظاهرة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ليست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ظاهرة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فوفقا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للمفهوم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السليم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تعتبر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الظاهرة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مبررة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وفريدة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هناك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يبرر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النكوس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وإستعادة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لدورها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الفعال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المفهوم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غير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مقبولة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المبدأ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4">
      <w:pPr>
        <w:bidi w:val="1"/>
        <w:ind w:left="72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وحتى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قبلنا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مفهوم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الجزئية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تكشف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يسيطر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وظيفتي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التنظيم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وظيفة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التشغيل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كالتخزين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والمعلومات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معظم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بينما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يتولى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التوكيلات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يلعب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متزايدا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الشحن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والتفريغ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5">
      <w:pPr>
        <w:numPr>
          <w:ilvl w:val="0"/>
          <w:numId w:val="9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قبل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فكرة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يجب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نتفهم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يعنيه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المصطلح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تفهما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كاملا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نحدد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أهداف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وأولوياتها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ونختار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الملائم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لتحقيق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الأهداف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يتسق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تاريخها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وثقافتها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وخصائصها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المميزة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6">
      <w:pPr>
        <w:numPr>
          <w:ilvl w:val="0"/>
          <w:numId w:val="9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تنفيذ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بمفهومها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الإصطلاحي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ينحصر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وأسهم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هناك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طرق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لتنفيذ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الجزئية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مجرد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محاولات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مختلفة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لإشراك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7">
      <w:pPr>
        <w:numPr>
          <w:ilvl w:val="0"/>
          <w:numId w:val="9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الإمتيازات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أكثر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الطرق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المتبعة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المجال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نجاحا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كبيرا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التجربة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الكورية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يليه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المشاركة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8">
      <w:pPr>
        <w:numPr>
          <w:ilvl w:val="0"/>
          <w:numId w:val="9"/>
        </w:numPr>
        <w:bidi w:val="1"/>
        <w:ind w:left="72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تتعدد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الأهداف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المتغياه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ّ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جميعها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بلورتها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هدف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واحد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أوضحت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الدراسات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التطبيقية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ترتبط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بنمط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الملكية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ولعل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تجربة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تنهض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دليلا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مصداقية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الدراسات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تقطع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الشك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تصميم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وتنفيذ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الإستراتيجيات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الملائمة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لتحقيق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وتعزيز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القدرة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التنافسية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وآية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ذلك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أكثر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نجاحا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الإنجليزية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سارت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درب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حتى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نهايته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9">
      <w:pPr>
        <w:bidi w:val="1"/>
        <w:ind w:left="72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ولم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ُ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التجارب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العالمية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الدروس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فحسب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نبهت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أيضا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بعض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المحاذير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لعل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أهمها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1A">
      <w:pPr>
        <w:numPr>
          <w:ilvl w:val="0"/>
          <w:numId w:val="4"/>
        </w:numPr>
        <w:bidi w:val="1"/>
        <w:ind w:left="126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هناك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كثير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المشكلات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يثيرها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وأسهم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المشكلات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المتعلقة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بتقييم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تلك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والأسهم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تفضي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طريقة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التقييم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قيمتها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الإقتصادية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يعني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تبديد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لجانب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الثروة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B">
      <w:pPr>
        <w:numPr>
          <w:ilvl w:val="0"/>
          <w:numId w:val="4"/>
        </w:numPr>
        <w:bidi w:val="1"/>
        <w:ind w:left="126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بيع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بهدف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دخل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إجراء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يفتقر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الرشد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الإقتصادي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معناه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مجرد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تحويل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نقدي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آخر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الثروة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يتضمن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الحصول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الإيراد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دفعة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والتضحية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بالإيراد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السنوي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زيادته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بإتباع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سياسة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تدخلية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سليمة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ُ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عتد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بالقول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أرباح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أكبر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تجربة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المملكة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أثبتت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هذه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الزيادة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صورية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C">
      <w:pPr>
        <w:numPr>
          <w:ilvl w:val="0"/>
          <w:numId w:val="4"/>
        </w:numPr>
        <w:bidi w:val="1"/>
        <w:ind w:left="126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تولي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يؤدي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إهمال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منافع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إجتماعية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حيث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الإستثمار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يدر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عائدا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يتناسب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تكلفتها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D">
      <w:pPr>
        <w:numPr>
          <w:ilvl w:val="0"/>
          <w:numId w:val="4"/>
        </w:numPr>
        <w:bidi w:val="1"/>
        <w:ind w:left="126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غالبا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تؤدي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إستبدال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الإحتكار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الخاص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بالإحتكار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يسيئ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سمعة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ويقلل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الطلب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ويحد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إمكانية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تطويره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E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ضوء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تقدم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الأمر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يتطلب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استبعاد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فكرة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المصرية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بمفهومها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الإصطلاحي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والتركيز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تجربة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سنغافورا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تحقيق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الكفاءة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والميزة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التنافسية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خلال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تبني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سياسات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تدخلية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ملائمة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وإذا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هنك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ضرورة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لتنفيذ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برامج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كاستجابة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لبرامج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الإصلاح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الإقتصادي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يفرضها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صندوق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والبنك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الدوليين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القول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الحكومة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قامت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بالفعل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بتحرير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خدمات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بموجب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القرار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رقم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(1)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لسنة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1998،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بالإضافة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تجربة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ميناء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السخنة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الضرورة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فإنه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يمكن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إتباع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المشاركة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نجاحا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الصين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أو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الإمتيازات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الذي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حقق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نجاحا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ً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كوريا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حالة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إتباع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أسلوب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منح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الإمتيازات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فإننا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نرى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أنها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يجب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يقتصر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المشروعات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الجديدة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ويركز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أنشطة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المناولة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والتخزين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البداية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ثم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إدخال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أعمال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الرصيف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مرحلة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لاحقة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0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bidi w:val="1"/>
        <w:ind w:left="0" w:right="0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bidi w:val="1"/>
        <w:ind w:left="0" w:right="0" w:firstLine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المراجع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bidi w:val="1"/>
        <w:ind w:left="0" w:right="0" w:firstLine="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أولا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ً :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المراجع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العربية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numPr>
          <w:ilvl w:val="0"/>
          <w:numId w:val="14"/>
        </w:numPr>
        <w:bidi w:val="1"/>
        <w:ind w:left="36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إبراهيم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محمد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محمد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(2003)،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المفاضلة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بين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التأجير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التمويلي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و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BOT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تدريبية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بمعهد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يونوف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الكويت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7">
      <w:pPr>
        <w:numPr>
          <w:ilvl w:val="0"/>
          <w:numId w:val="14"/>
        </w:numPr>
        <w:bidi w:val="1"/>
        <w:ind w:left="36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إبراهيم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محمد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محمد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(2002-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أ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تقييم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التجرية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المصرية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خصخصة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شركات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القطاع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العام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ورقة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مقدمة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إلى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المؤتمر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الدولي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السنوي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الثامن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عشر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معهد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تدريب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28">
      <w:pPr>
        <w:numPr>
          <w:ilvl w:val="0"/>
          <w:numId w:val="14"/>
        </w:numPr>
        <w:bidi w:val="1"/>
        <w:ind w:left="36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إبراهيم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محمد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محمد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(2002-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ب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)،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الآثار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الإقتصادية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لإتفاقية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الجات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على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قطاع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النقل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البحري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(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الإسكندرية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: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الدار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الجامعية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229">
      <w:pPr>
        <w:numPr>
          <w:ilvl w:val="0"/>
          <w:numId w:val="14"/>
        </w:numPr>
        <w:bidi w:val="1"/>
        <w:ind w:left="36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إبراهيم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محمد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محمد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علي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(1998)،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الخوصصة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وتقييم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الأصول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والأسهم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لشركات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النقل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البحري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ملف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تدريبية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الأكاديمية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العلربية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للعلوم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والتكنولوجيا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A">
      <w:pPr>
        <w:numPr>
          <w:ilvl w:val="0"/>
          <w:numId w:val="14"/>
        </w:numPr>
        <w:bidi w:val="1"/>
        <w:ind w:left="360" w:right="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1"/>
        </w:rPr>
        <w:t xml:space="preserve">مبارك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إسماعيل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(2003)،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تطوير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الموانئ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المصرية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ورفع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i w:val="1"/>
          <w:sz w:val="26"/>
          <w:szCs w:val="26"/>
          <w:vertAlign w:val="baseline"/>
          <w:rtl w:val="1"/>
        </w:rPr>
        <w:t xml:space="preserve">كفاءتها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دورة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تدريبية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،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الأكاديمية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العربية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للعلوم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والتكنولوجيا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والنقل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البحري</w:t>
      </w:r>
      <w:r w:rsidDel="00000000" w:rsidR="00000000" w:rsidRPr="00000000">
        <w:rPr>
          <w:sz w:val="26"/>
          <w:szCs w:val="2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B">
      <w:pPr>
        <w:bidi w:val="1"/>
        <w:ind w:left="0" w:right="0" w:firstLine="0"/>
        <w:jc w:val="both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ثانيا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ً: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المراجع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الأجنبية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Baird, Alfred, (2002), Privatization Trends at the World’s Top 100 Container Ports,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International Association for Maritime Economists Annual Conference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Baird, Alfred, (1999), Privatization Defined; Is It The Universal Panacea?, </w:t>
      </w:r>
      <w:hyperlink r:id="rId13">
        <w:r w:rsidDel="00000000" w:rsidR="00000000" w:rsidRPr="00000000">
          <w:rPr>
            <w:color w:val="0000ff"/>
            <w:sz w:val="26"/>
            <w:szCs w:val="26"/>
            <w:u w:val="none"/>
            <w:vertAlign w:val="baseline"/>
            <w:rtl w:val="0"/>
          </w:rPr>
          <w:t xml:space="preserve">www.worldbank.org/transport/port/con_docs/braid.pdf</w:t>
        </w:r>
      </w:hyperlink>
      <w:r w:rsidDel="00000000" w:rsidR="00000000" w:rsidRPr="00000000">
        <w:rPr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2E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Baird, (1995), Privatization of Trust Ports in the United Kingdom: Review and Analysis of the First Sales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. Journal of Transport Policy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2(2), 135-143.</w:t>
      </w:r>
    </w:p>
    <w:p w:rsidR="00000000" w:rsidDel="00000000" w:rsidP="00000000" w:rsidRDefault="00000000" w:rsidRPr="00000000" w14:paraId="0000022F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Cass, Sidney, (1999),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World Port Privatization: Finances, Funding and Ownership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(London: IIR Publication/Cargo Systems).</w:t>
      </w:r>
    </w:p>
    <w:p w:rsidR="00000000" w:rsidDel="00000000" w:rsidP="00000000" w:rsidRDefault="00000000" w:rsidRPr="00000000" w14:paraId="00000230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Cass, Sidney, (1996),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Port Privatization: Process, Players and Progress,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(London: IIR Publication/Cargo Systems).</w:t>
      </w:r>
    </w:p>
    <w:p w:rsidR="00000000" w:rsidDel="00000000" w:rsidP="00000000" w:rsidRDefault="00000000" w:rsidRPr="00000000" w14:paraId="00000231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Caves, D.W.et al, (1982), Economic Performance of US and Canadian Railroads, In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Managing Public Enterprise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edited by Stanbury W.T. and Thompson F. Praeger, New York.</w:t>
      </w:r>
    </w:p>
    <w:p w:rsidR="00000000" w:rsidDel="00000000" w:rsidP="00000000" w:rsidRDefault="00000000" w:rsidRPr="00000000" w14:paraId="00000232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Choi, Jan-rim, (2000), Trends and Futures of Port Industry: Automation of Terminal operation, proceeding of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Challenge of the World Shipping and Response of The Korean Shipping in 21</w:t>
      </w:r>
      <w:r w:rsidDel="00000000" w:rsidR="00000000" w:rsidRPr="00000000">
        <w:rPr>
          <w:i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 Century,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organized by Korean Association of Shipping Studies and Korean Maritime Research Institute.</w:t>
      </w:r>
    </w:p>
    <w:p w:rsidR="00000000" w:rsidDel="00000000" w:rsidP="00000000" w:rsidRDefault="00000000" w:rsidRPr="00000000" w14:paraId="00000233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De Matons, Grosdidier, (1997), Is a Public Authority Still Necessary following Privatization?,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Proceeding of the Cargo Systems Port Financing Conference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London.</w:t>
      </w:r>
    </w:p>
    <w:p w:rsidR="00000000" w:rsidDel="00000000" w:rsidP="00000000" w:rsidRDefault="00000000" w:rsidRPr="00000000" w14:paraId="00000234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De Monie, G., (1994), Missions and Rules of Ports Authorities,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Proceeding of the World Port Privatization Conference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London.</w:t>
      </w:r>
    </w:p>
    <w:p w:rsidR="00000000" w:rsidDel="00000000" w:rsidP="00000000" w:rsidRDefault="00000000" w:rsidRPr="00000000" w14:paraId="00000235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Everett, S. and Robinson R. (1998), Prot Reform in Australia: Issues in the Ownership debate,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Maritime Policy and Management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Vol. 25. No.1</w:t>
      </w:r>
    </w:p>
    <w:p w:rsidR="00000000" w:rsidDel="00000000" w:rsidP="00000000" w:rsidRDefault="00000000" w:rsidRPr="00000000" w14:paraId="00000236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IAPH, (2002), Task Force, (1999), Institutional Reform Working Group, Final Report,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Proceeding of the International Association of Ports and Harbors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World Port Conference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Kuala Lumpur.</w:t>
      </w:r>
    </w:p>
    <w:p w:rsidR="00000000" w:rsidDel="00000000" w:rsidP="00000000" w:rsidRDefault="00000000" w:rsidRPr="00000000" w14:paraId="00000237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Kim, Young-Tae, (2000), Port Privatization in Korea, proceeding of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Challenge of the World Shipping and Response of The Korean Shipping in 21</w:t>
      </w:r>
      <w:r w:rsidDel="00000000" w:rsidR="00000000" w:rsidRPr="00000000">
        <w:rPr>
          <w:i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 Century,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organized by Korean Association of Shipping Studies and Korean Maritime Research Institute.</w:t>
      </w:r>
    </w:p>
    <w:p w:rsidR="00000000" w:rsidDel="00000000" w:rsidP="00000000" w:rsidRDefault="00000000" w:rsidRPr="00000000" w14:paraId="00000238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Sherman Rexford, (1999), Forward for Cass, Sidney’s Book,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World Port Privatization: Finances, Funding and Ownership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(London: IIRP Publication/Cargo Systems).</w:t>
      </w:r>
    </w:p>
    <w:p w:rsidR="00000000" w:rsidDel="00000000" w:rsidP="00000000" w:rsidRDefault="00000000" w:rsidRPr="00000000" w14:paraId="00000239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Tandon. P. , (1997), Efficiency of Privatized Firms: Evidence and Implications,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Economic and Political weekly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Vol. 32. No. 50.</w:t>
      </w:r>
    </w:p>
    <w:p w:rsidR="00000000" w:rsidDel="00000000" w:rsidP="00000000" w:rsidRDefault="00000000" w:rsidRPr="00000000" w14:paraId="0000023A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Tanjon Jose, (2002), Key Success Factors for Transshipment Hubs: The case of The Port of Singapore,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International Association for Maritime Economists Annual Conference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UNCTAD, (2003),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Review of Maritime Transport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New York, Geneva, United Nations. </w:t>
      </w:r>
    </w:p>
    <w:p w:rsidR="00000000" w:rsidDel="00000000" w:rsidP="00000000" w:rsidRDefault="00000000" w:rsidRPr="00000000" w14:paraId="0000023C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Vince F. Valentine, and Gray R., (2002), Competition of Hub Ports: A comparison Between Europe and Fareast,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Proceedings of The Second International Gwangyang Port Forum “ Structural Change of Shipping and the Future of The Port Industry”.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World Bank, (1999),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Framework for Port Reform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 Module 1, </w:t>
      </w:r>
      <w:hyperlink r:id="rId14">
        <w:r w:rsidDel="00000000" w:rsidR="00000000" w:rsidRPr="00000000">
          <w:rPr>
            <w:color w:val="0000ff"/>
            <w:sz w:val="26"/>
            <w:szCs w:val="26"/>
            <w:u w:val="single"/>
            <w:vertAlign w:val="baseline"/>
            <w:rtl w:val="0"/>
          </w:rPr>
          <w:t xml:space="preserve">www.worldbank.org</w:t>
        </w:r>
      </w:hyperlink>
      <w:r w:rsidDel="00000000" w:rsidR="00000000" w:rsidRPr="00000000">
        <w:rPr>
          <w:sz w:val="26"/>
          <w:szCs w:val="26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World Bank, (1998), </w:t>
      </w: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Concession for Infrastructure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, </w:t>
      </w:r>
      <w:hyperlink r:id="rId15">
        <w:r w:rsidDel="00000000" w:rsidR="00000000" w:rsidRPr="00000000">
          <w:rPr>
            <w:color w:val="0000ff"/>
            <w:sz w:val="26"/>
            <w:szCs w:val="26"/>
            <w:u w:val="single"/>
            <w:vertAlign w:val="baseline"/>
            <w:rtl w:val="0"/>
          </w:rPr>
          <w:t xml:space="preserve">www.worldbank.org</w:t>
        </w:r>
      </w:hyperlink>
      <w:r w:rsidDel="00000000" w:rsidR="00000000" w:rsidRPr="00000000">
        <w:rPr>
          <w:sz w:val="26"/>
          <w:szCs w:val="26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numPr>
          <w:ilvl w:val="0"/>
          <w:numId w:val="13"/>
        </w:numPr>
        <w:ind w:left="36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Yao-dong, Yu, (2003), Brief Introduction to Qingadao Port and Qingadao Qianwan Container Terminal Project, paper presented to Korea Maritime University, unpublished.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jc w:val="both"/>
        <w:rPr>
          <w:i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footerReference r:id="rId18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خبراء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تقسيما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آخرا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الموانئ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مجموعتين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وتتضمن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الحماية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والإتصال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السفينة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الإطفاء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والتوريدات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المحطات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تداول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الاويات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تداول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تخزين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البضائع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التطهير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والصيانة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القنوات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والأحواض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معدات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الأحواض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الحاويات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العقارات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وتنقسم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بدورها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لوجستية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وتتضمن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التخزين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التفريغ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البضائع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لوجستية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التغليف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وتخزين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وطحن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الغلال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World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1998).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التجارب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العالمية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في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خصخصة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الموانئ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البحرية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دروس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ومحاذير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،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.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محمد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محمد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علي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إبراهيم</w:t>
    </w:r>
  </w:p>
  <w:p w:rsidR="00000000" w:rsidDel="00000000" w:rsidP="00000000" w:rsidRDefault="00000000" w:rsidRPr="00000000" w14:paraId="000002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0"/>
      <w:numFmt w:val="bullet"/>
      <w:lvlText w:val="♦"/>
      <w:lvlJc w:val="left"/>
      <w:pPr>
        <w:ind w:left="720" w:hanging="432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864" w:hanging="287.9999999999999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upperRoman"/>
      <w:lvlText w:val="%2."/>
      <w:lvlJc w:val="right"/>
      <w:pPr>
        <w:ind w:left="1620" w:hanging="18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0"/>
      <w:numFmt w:val="bullet"/>
      <w:lvlText w:val="♦"/>
      <w:lvlJc w:val="left"/>
      <w:pPr>
        <w:ind w:left="720" w:hanging="432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0"/>
      <w:numFmt w:val="bullet"/>
      <w:lvlText w:val="-"/>
      <w:lvlJc w:val="left"/>
      <w:pPr>
        <w:ind w:left="864" w:hanging="287.9999999999999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upperRoman"/>
      <w:lvlText w:val="%2."/>
      <w:lvlJc w:val="right"/>
      <w:pPr>
        <w:ind w:left="1620" w:hanging="18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0"/>
      <w:numFmt w:val="bullet"/>
      <w:lvlText w:val="-"/>
      <w:lvlJc w:val="left"/>
      <w:pPr>
        <w:ind w:left="864" w:hanging="287.9999999999999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upperRoman"/>
      <w:lvlText w:val="%2."/>
      <w:lvlJc w:val="right"/>
      <w:pPr>
        <w:ind w:left="1620" w:hanging="18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upperRoman"/>
      <w:lvlText w:val="%2."/>
      <w:lvlJc w:val="right"/>
      <w:pPr>
        <w:ind w:left="1260" w:hanging="180"/>
      </w:pPr>
      <w:rPr>
        <w:vertAlign w:val="baseline"/>
      </w:rPr>
    </w:lvl>
    <w:lvl w:ilvl="2">
      <w:start w:val="0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0"/>
      <w:numFmt w:val="bullet"/>
      <w:lvlText w:val="♦"/>
      <w:lvlJc w:val="left"/>
      <w:pPr>
        <w:ind w:left="720" w:hanging="432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upperRoman"/>
      <w:lvlText w:val="%2."/>
      <w:lvlJc w:val="right"/>
      <w:pPr>
        <w:ind w:left="1620" w:hanging="180"/>
      </w:pPr>
      <w:rPr>
        <w:vertAlign w:val="baseline"/>
      </w:rPr>
    </w:lvl>
    <w:lvl w:ilvl="2">
      <w:start w:val="0"/>
      <w:numFmt w:val="bullet"/>
      <w:lvlText w:val="♦"/>
      <w:lvlJc w:val="left"/>
      <w:pPr>
        <w:ind w:left="720" w:hanging="432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lvl w:ilvl="0">
      <w:start w:val="3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3"/>
      <w:numFmt w:val="decimal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lvl w:ilvl="0">
      <w:start w:val="0"/>
      <w:numFmt w:val="bullet"/>
      <w:lvlText w:val="●"/>
      <w:lvlJc w:val="left"/>
      <w:pPr>
        <w:ind w:left="720" w:hanging="288"/>
      </w:pPr>
      <w:rPr>
        <w:rFonts w:ascii="Noto Sans Symbols" w:cs="Noto Sans Symbols" w:eastAsia="Noto Sans Symbols" w:hAnsi="Noto Sans Symbols"/>
        <w:b w:val="1"/>
        <w:i w:val="0"/>
        <w:color w:val="000000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lvl w:ilvl="0">
      <w:start w:val="0"/>
      <w:numFmt w:val="bullet"/>
      <w:lvlText w:val="●"/>
      <w:lvlJc w:val="left"/>
      <w:pPr>
        <w:ind w:left="720" w:hanging="288"/>
      </w:pPr>
      <w:rPr>
        <w:rFonts w:ascii="Noto Sans Symbols" w:cs="Noto Sans Symbols" w:eastAsia="Noto Sans Symbols" w:hAnsi="Noto Sans Symbols"/>
        <w:b w:val="1"/>
        <w:i w:val="0"/>
        <w:color w:val="000000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right"/>
      <w:pPr>
        <w:ind w:left="1224" w:hanging="144"/>
      </w:pPr>
      <w:rPr>
        <w:b w:val="1"/>
        <w:i w:val="0"/>
        <w:sz w:val="26"/>
        <w:szCs w:val="2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0">
    <w:lvl w:ilvl="0">
      <w:start w:val="0"/>
      <w:numFmt w:val="bullet"/>
      <w:lvlText w:val="●"/>
      <w:lvlJc w:val="left"/>
      <w:pPr>
        <w:ind w:left="720" w:hanging="288"/>
      </w:pPr>
      <w:rPr>
        <w:rFonts w:ascii="Noto Sans Symbols" w:cs="Noto Sans Symbols" w:eastAsia="Noto Sans Symbols" w:hAnsi="Noto Sans Symbols"/>
        <w:b w:val="1"/>
        <w:i w:val="0"/>
        <w:color w:val="000000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0"/>
      <w:numFmt w:val="bullet"/>
      <w:lvlText w:val="♦"/>
      <w:lvlJc w:val="left"/>
      <w:pPr>
        <w:ind w:left="720" w:hanging="432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2">
    <w:lvl w:ilvl="0">
      <w:start w:val="0"/>
      <w:numFmt w:val="bullet"/>
      <w:lvlText w:val="-"/>
      <w:lvlJc w:val="left"/>
      <w:pPr>
        <w:ind w:left="864" w:hanging="287.9999999999999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upperRoman"/>
      <w:lvlText w:val="%2."/>
      <w:lvlJc w:val="right"/>
      <w:pPr>
        <w:ind w:left="1620" w:hanging="18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3">
    <w:lvl w:ilvl="0">
      <w:start w:val="1"/>
      <w:numFmt w:val="decimal"/>
      <w:lvlText w:val="%1."/>
      <w:lvlJc w:val="right"/>
      <w:pPr>
        <w:ind w:left="576" w:hanging="144"/>
      </w:pPr>
      <w:rPr>
        <w:b w:val="1"/>
        <w:i w:val="0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lvl w:ilvl="0">
      <w:start w:val="1"/>
      <w:numFmt w:val="decimal"/>
      <w:lvlText w:val="%1."/>
      <w:lvlJc w:val="left"/>
      <w:pPr>
        <w:ind w:left="648" w:hanging="216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lvl w:ilvl="0">
      <w:start w:val="0"/>
      <w:numFmt w:val="bullet"/>
      <w:lvlText w:val="-"/>
      <w:lvlJc w:val="left"/>
      <w:pPr>
        <w:ind w:left="864" w:hanging="287.9999999999999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upperRoman"/>
      <w:lvlText w:val="%2."/>
      <w:lvlJc w:val="right"/>
      <w:pPr>
        <w:ind w:left="1620" w:hanging="18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spacing w:line="360" w:lineRule="auto"/>
      <w:ind w:left="0" w:right="0"/>
      <w:jc w:val="center"/>
    </w:pPr>
    <w:rPr>
      <w:b w:val="1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hyperlink" Target="http://www.worldbank.org/transport/port/con_docs/braid.pdf" TargetMode="External"/><Relationship Id="rId12" Type="http://schemas.openxmlformats.org/officeDocument/2006/relationships/hyperlink" Target="http://www.worldbank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5" Type="http://schemas.openxmlformats.org/officeDocument/2006/relationships/hyperlink" Target="http://www.worldbank.org" TargetMode="External"/><Relationship Id="rId14" Type="http://schemas.openxmlformats.org/officeDocument/2006/relationships/hyperlink" Target="http://www.worldbank.org" TargetMode="External"/><Relationship Id="rId17" Type="http://schemas.openxmlformats.org/officeDocument/2006/relationships/footer" Target="footer2.xml"/><Relationship Id="rId16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1.xml"/><Relationship Id="rId7" Type="http://schemas.openxmlformats.org/officeDocument/2006/relationships/hyperlink" Target="mailto:mohamed55o@hotmail.com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